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Arial" w:hAnsi="Arial"/>
          <w:b/>
          <w:color w:val="1F3D58"/>
          <w:sz w:val="44"/>
        </w:rPr>
        <w:t>FX6 Scenario Recipe Pack V1</w:t>
      </w:r>
    </w:p>
    <w:p>
      <w:pPr>
        <w:jc w:val="center"/>
      </w:pPr>
      <w:r>
        <w:rPr>
          <w:rFonts w:ascii="Arial" w:hAnsi="Arial"/>
          <w:i/>
          <w:color w:val="505050"/>
          <w:sz w:val="22"/>
        </w:rPr>
        <w:t>Extraction from FX6 Cine EI Muted-Color Shooting System - Working Baseline</w:t>
      </w:r>
    </w:p>
    <w:p/>
    <w:tbl>
      <w:tblPr>
        <w:tblW w:type="auto" w:w="0"/>
        <w:jc w:val="center"/>
        <w:tblLook w:firstColumn="1" w:firstRow="1" w:lastColumn="0" w:lastRow="0" w:noHBand="0" w:noVBand="1" w:val="04A0"/>
      </w:tblPr>
      <w:tblGrid>
        <w:gridCol w:w="10368"/>
      </w:tblGrid>
      <w:tr>
        <w:tc>
          <w:tcPr>
            <w:tcW w:type="dxa" w:w="10368"/>
            <w:shd w:fill="EEF3F7"/>
          </w:tcPr>
          <w:p>
            <w:r>
              <w:rPr>
                <w:rFonts w:ascii="Arial" w:hAnsi="Arial"/>
                <w:b/>
                <w:sz w:val="18"/>
              </w:rPr>
              <w:t xml:space="preserve">Control Note: </w:t>
            </w:r>
            <w:r>
              <w:rPr>
                <w:rFonts w:ascii="Arial" w:hAnsi="Arial"/>
                <w:sz w:val="18"/>
              </w:rPr>
              <w:t>Derived extraction document. Source project: FX6 Final Audio Settings + Cine EI Muted-Color Shooting System. Source document chain: Canonized Master TOC and Handbook V1.0 plus current Working Baseline used as extraction source. Canon source untouched. Operational audio setup is deferred to the external FX6 Audio Field Setup Guide. Pages 381-384 of the working source are ignored for extraction work.</w:t>
            </w:r>
          </w:p>
        </w:tc>
      </w:tr>
    </w:tbl>
    <w:p/>
    <w:tbl>
      <w:tblPr>
        <w:tblStyle w:val="TableGrid"/>
        <w:tblW w:type="auto" w:w="0"/>
        <w:jc w:val="center"/>
        <w:tblLook w:firstColumn="1" w:firstRow="1" w:lastColumn="0" w:lastRow="0" w:noHBand="0" w:noVBand="1" w:val="04A0"/>
      </w:tblPr>
      <w:tblGrid>
        <w:gridCol w:w="5184"/>
        <w:gridCol w:w="5184"/>
      </w:tblGrid>
      <w:tr>
        <w:tc>
          <w:tcPr>
            <w:tcW w:type="dxa" w:w="2520"/>
            <w:shd w:fill="1F4E79"/>
            <w:vAlign w:val="top"/>
          </w:tcPr>
          <w:p>
            <w:pPr>
              <w:jc w:val="left"/>
            </w:pPr>
            <w:r/>
            <w:r>
              <w:rPr>
                <w:rFonts w:ascii="Arial" w:hAnsi="Arial"/>
                <w:b/>
                <w:color w:val="FFFFFF"/>
                <w:sz w:val="18"/>
              </w:rPr>
              <w:t>Control Item</w:t>
            </w:r>
          </w:p>
        </w:tc>
        <w:tc>
          <w:tcPr>
            <w:tcW w:type="dxa" w:w="8352"/>
            <w:shd w:fill="1F4E79"/>
            <w:vAlign w:val="top"/>
          </w:tcPr>
          <w:p>
            <w:pPr>
              <w:jc w:val="left"/>
            </w:pPr>
            <w:r/>
            <w:r>
              <w:rPr>
                <w:rFonts w:ascii="Arial" w:hAnsi="Arial"/>
                <w:b/>
                <w:color w:val="FFFFFF"/>
                <w:sz w:val="18"/>
              </w:rPr>
              <w:t>Status / Use</w:t>
            </w:r>
          </w:p>
        </w:tc>
      </w:tr>
      <w:tr>
        <w:tc>
          <w:tcPr>
            <w:tcW w:type="dxa" w:w="2520"/>
            <w:vAlign w:val="top"/>
          </w:tcPr>
          <w:p>
            <w:pPr>
              <w:jc w:val="left"/>
            </w:pPr>
            <w:r/>
            <w:r>
              <w:rPr>
                <w:rFonts w:ascii="Arial" w:hAnsi="Arial"/>
                <w:b w:val="0"/>
                <w:sz w:val="18"/>
              </w:rPr>
              <w:t>Purpose</w:t>
            </w:r>
          </w:p>
        </w:tc>
        <w:tc>
          <w:tcPr>
            <w:tcW w:type="dxa" w:w="8352"/>
            <w:vAlign w:val="top"/>
          </w:tcPr>
          <w:p>
            <w:pPr>
              <w:jc w:val="left"/>
            </w:pPr>
            <w:r/>
            <w:r>
              <w:rPr>
                <w:rFonts w:ascii="Arial" w:hAnsi="Arial"/>
                <w:b w:val="0"/>
                <w:sz w:val="18"/>
              </w:rPr>
              <w:t>Fast starting recipes for common FX6 shoot situations.</w:t>
            </w:r>
          </w:p>
        </w:tc>
      </w:tr>
      <w:tr>
        <w:tc>
          <w:tcPr>
            <w:tcW w:type="dxa" w:w="2520"/>
            <w:vAlign w:val="top"/>
          </w:tcPr>
          <w:p>
            <w:pPr>
              <w:jc w:val="left"/>
            </w:pPr>
            <w:r/>
            <w:r>
              <w:rPr>
                <w:rFonts w:ascii="Arial" w:hAnsi="Arial"/>
                <w:b w:val="0"/>
                <w:sz w:val="18"/>
              </w:rPr>
              <w:t>Scope</w:t>
            </w:r>
          </w:p>
        </w:tc>
        <w:tc>
          <w:tcPr>
            <w:tcW w:type="dxa" w:w="8352"/>
            <w:vAlign w:val="top"/>
          </w:tcPr>
          <w:p>
            <w:pPr>
              <w:jc w:val="left"/>
            </w:pPr>
            <w:r/>
            <w:r>
              <w:rPr>
                <w:rFonts w:ascii="Arial" w:hAnsi="Arial"/>
                <w:b w:val="0"/>
                <w:sz w:val="18"/>
              </w:rPr>
              <w:t>One-person actor reel, two-person dialogue/interview, exterior dialogue, documentary sit-down, documentary run-and-gun, and offload/import/proxy/archive.</w:t>
            </w:r>
          </w:p>
        </w:tc>
      </w:tr>
      <w:tr>
        <w:tc>
          <w:tcPr>
            <w:tcW w:type="dxa" w:w="2520"/>
            <w:vAlign w:val="top"/>
          </w:tcPr>
          <w:p>
            <w:pPr>
              <w:jc w:val="left"/>
            </w:pPr>
            <w:r/>
            <w:r>
              <w:rPr>
                <w:rFonts w:ascii="Arial" w:hAnsi="Arial"/>
                <w:b w:val="0"/>
                <w:sz w:val="18"/>
              </w:rPr>
              <w:t>Source refs</w:t>
            </w:r>
          </w:p>
        </w:tc>
        <w:tc>
          <w:tcPr>
            <w:tcW w:type="dxa" w:w="8352"/>
            <w:vAlign w:val="top"/>
          </w:tcPr>
          <w:p>
            <w:pPr>
              <w:jc w:val="left"/>
            </w:pPr>
            <w:r/>
            <w:r>
              <w:rPr>
                <w:rFonts w:ascii="Arial" w:hAnsi="Arial"/>
                <w:b w:val="0"/>
                <w:sz w:val="18"/>
              </w:rPr>
              <w:t>Summary Guide Section 10 and related Handbook areas: pp. 68-127, 171-240, 241-339, and Appendices D-K.</w:t>
            </w:r>
          </w:p>
        </w:tc>
      </w:tr>
    </w:tbl>
    <w:p/>
    <w:tbl>
      <w:tblPr>
        <w:tblW w:type="auto" w:w="0"/>
        <w:jc w:val="center"/>
        <w:tblLook w:firstColumn="1" w:firstRow="1" w:lastColumn="0" w:lastRow="0" w:noHBand="0" w:noVBand="1" w:val="04A0"/>
      </w:tblPr>
      <w:tblGrid>
        <w:gridCol w:w="10368"/>
      </w:tblGrid>
      <w:tr>
        <w:tc>
          <w:tcPr>
            <w:tcW w:type="dxa" w:w="10368"/>
            <w:shd w:fill="FFF2CC"/>
          </w:tcPr>
          <w:p>
            <w:r>
              <w:rPr>
                <w:rFonts w:ascii="Arial" w:hAnsi="Arial"/>
                <w:b/>
                <w:sz w:val="19"/>
              </w:rPr>
              <w:t xml:space="preserve">Master Field Rule: </w:t>
            </w:r>
            <w:r>
              <w:rPr>
                <w:rFonts w:ascii="Arial" w:hAnsi="Arial"/>
                <w:sz w:val="19"/>
              </w:rPr>
              <w:t>Expose cleanly. Light selectively. Monitor accurately. Record clean S-Log3. Grade carefully. Do not underexpose S-Log3 to create mood.</w:t>
            </w:r>
          </w:p>
        </w:tc>
      </w:tr>
    </w:tbl>
    <w:p/>
    <w:p>
      <w:r>
        <w:br w:type="page"/>
      </w:r>
    </w:p>
    <w:p>
      <w:pPr>
        <w:pStyle w:val="Heading1"/>
      </w:pPr>
      <w:r>
        <w:t>Manual Table of Contents</w:t>
      </w:r>
    </w:p>
    <w:tbl>
      <w:tblPr>
        <w:tblStyle w:val="TableGrid"/>
        <w:tblW w:type="auto" w:w="0"/>
        <w:jc w:val="center"/>
        <w:tblLook w:firstColumn="1" w:firstRow="1" w:lastColumn="0" w:lastRow="0" w:noHBand="0" w:noVBand="1" w:val="04A0"/>
      </w:tblPr>
      <w:tblGrid>
        <w:gridCol w:w="5184"/>
        <w:gridCol w:w="5184"/>
      </w:tblGrid>
      <w:tr>
        <w:tc>
          <w:tcPr>
            <w:tcW w:type="dxa" w:w="1296"/>
            <w:shd w:fill="1F4E79"/>
            <w:vAlign w:val="top"/>
          </w:tcPr>
          <w:p>
            <w:pPr>
              <w:jc w:val="left"/>
            </w:pPr>
            <w:r/>
            <w:r>
              <w:rPr>
                <w:rFonts w:ascii="Arial" w:hAnsi="Arial"/>
                <w:b/>
                <w:color w:val="FFFFFF"/>
                <w:sz w:val="18"/>
              </w:rPr>
              <w:t>Section</w:t>
            </w:r>
          </w:p>
        </w:tc>
        <w:tc>
          <w:tcPr>
            <w:tcW w:type="dxa" w:w="8496"/>
            <w:shd w:fill="1F4E79"/>
            <w:vAlign w:val="top"/>
          </w:tcPr>
          <w:p>
            <w:pPr>
              <w:jc w:val="left"/>
            </w:pPr>
            <w:r/>
            <w:r>
              <w:rPr>
                <w:rFonts w:ascii="Arial" w:hAnsi="Arial"/>
                <w:b/>
                <w:color w:val="FFFFFF"/>
                <w:sz w:val="18"/>
              </w:rPr>
              <w:t>Recipe</w:t>
            </w:r>
          </w:p>
        </w:tc>
      </w:tr>
      <w:tr>
        <w:tc>
          <w:tcPr>
            <w:tcW w:type="dxa" w:w="1296"/>
            <w:vAlign w:val="top"/>
          </w:tcPr>
          <w:p>
            <w:pPr>
              <w:jc w:val="left"/>
            </w:pPr>
            <w:r/>
            <w:r>
              <w:rPr>
                <w:rFonts w:ascii="Arial" w:hAnsi="Arial"/>
                <w:b w:val="0"/>
                <w:sz w:val="18"/>
              </w:rPr>
              <w:t>1</w:t>
            </w:r>
          </w:p>
        </w:tc>
        <w:tc>
          <w:tcPr>
            <w:tcW w:type="dxa" w:w="8496"/>
            <w:vAlign w:val="top"/>
          </w:tcPr>
          <w:p>
            <w:pPr>
              <w:jc w:val="left"/>
            </w:pPr>
            <w:r/>
            <w:r>
              <w:rPr>
                <w:rFonts w:ascii="Arial" w:hAnsi="Arial"/>
                <w:b w:val="0"/>
                <w:sz w:val="18"/>
              </w:rPr>
              <w:t>Universal setup logic</w:t>
            </w:r>
          </w:p>
        </w:tc>
      </w:tr>
      <w:tr>
        <w:tc>
          <w:tcPr>
            <w:tcW w:type="dxa" w:w="1296"/>
            <w:vAlign w:val="top"/>
          </w:tcPr>
          <w:p>
            <w:pPr>
              <w:jc w:val="left"/>
            </w:pPr>
            <w:r/>
            <w:r>
              <w:rPr>
                <w:rFonts w:ascii="Arial" w:hAnsi="Arial"/>
                <w:b w:val="0"/>
                <w:sz w:val="18"/>
              </w:rPr>
              <w:t>2</w:t>
            </w:r>
          </w:p>
        </w:tc>
        <w:tc>
          <w:tcPr>
            <w:tcW w:type="dxa" w:w="8496"/>
            <w:vAlign w:val="top"/>
          </w:tcPr>
          <w:p>
            <w:pPr>
              <w:jc w:val="left"/>
            </w:pPr>
            <w:r/>
            <w:r>
              <w:rPr>
                <w:rFonts w:ascii="Arial" w:hAnsi="Arial"/>
                <w:b w:val="0"/>
                <w:sz w:val="18"/>
              </w:rPr>
              <w:t>Universal stop conditions</w:t>
            </w:r>
          </w:p>
        </w:tc>
      </w:tr>
      <w:tr>
        <w:tc>
          <w:tcPr>
            <w:tcW w:type="dxa" w:w="1296"/>
            <w:vAlign w:val="top"/>
          </w:tcPr>
          <w:p>
            <w:pPr>
              <w:jc w:val="left"/>
            </w:pPr>
            <w:r/>
            <w:r>
              <w:rPr>
                <w:rFonts w:ascii="Arial" w:hAnsi="Arial"/>
                <w:b w:val="0"/>
                <w:sz w:val="18"/>
              </w:rPr>
              <w:t>3</w:t>
            </w:r>
          </w:p>
        </w:tc>
        <w:tc>
          <w:tcPr>
            <w:tcW w:type="dxa" w:w="8496"/>
            <w:vAlign w:val="top"/>
          </w:tcPr>
          <w:p>
            <w:pPr>
              <w:jc w:val="left"/>
            </w:pPr>
            <w:r/>
            <w:r>
              <w:rPr>
                <w:rFonts w:ascii="Arial" w:hAnsi="Arial"/>
                <w:b w:val="0"/>
                <w:sz w:val="18"/>
              </w:rPr>
              <w:t>One-person actor reel - indoor</w:t>
            </w:r>
          </w:p>
        </w:tc>
      </w:tr>
      <w:tr>
        <w:tc>
          <w:tcPr>
            <w:tcW w:type="dxa" w:w="1296"/>
            <w:vAlign w:val="top"/>
          </w:tcPr>
          <w:p>
            <w:pPr>
              <w:jc w:val="left"/>
            </w:pPr>
            <w:r/>
            <w:r>
              <w:rPr>
                <w:rFonts w:ascii="Arial" w:hAnsi="Arial"/>
                <w:b w:val="0"/>
                <w:sz w:val="18"/>
              </w:rPr>
              <w:t>4</w:t>
            </w:r>
          </w:p>
        </w:tc>
        <w:tc>
          <w:tcPr>
            <w:tcW w:type="dxa" w:w="8496"/>
            <w:vAlign w:val="top"/>
          </w:tcPr>
          <w:p>
            <w:pPr>
              <w:jc w:val="left"/>
            </w:pPr>
            <w:r/>
            <w:r>
              <w:rPr>
                <w:rFonts w:ascii="Arial" w:hAnsi="Arial"/>
                <w:b w:val="0"/>
                <w:sz w:val="18"/>
              </w:rPr>
              <w:t>Two-person dialogue or interview</w:t>
            </w:r>
          </w:p>
        </w:tc>
      </w:tr>
      <w:tr>
        <w:tc>
          <w:tcPr>
            <w:tcW w:type="dxa" w:w="1296"/>
            <w:vAlign w:val="top"/>
          </w:tcPr>
          <w:p>
            <w:pPr>
              <w:jc w:val="left"/>
            </w:pPr>
            <w:r/>
            <w:r>
              <w:rPr>
                <w:rFonts w:ascii="Arial" w:hAnsi="Arial"/>
                <w:b w:val="0"/>
                <w:sz w:val="18"/>
              </w:rPr>
              <w:t>5</w:t>
            </w:r>
          </w:p>
        </w:tc>
        <w:tc>
          <w:tcPr>
            <w:tcW w:type="dxa" w:w="8496"/>
            <w:vAlign w:val="top"/>
          </w:tcPr>
          <w:p>
            <w:pPr>
              <w:jc w:val="left"/>
            </w:pPr>
            <w:r/>
            <w:r>
              <w:rPr>
                <w:rFonts w:ascii="Arial" w:hAnsi="Arial"/>
                <w:b w:val="0"/>
                <w:sz w:val="18"/>
              </w:rPr>
              <w:t>Exterior muted-cinematic dialogue</w:t>
            </w:r>
          </w:p>
        </w:tc>
      </w:tr>
      <w:tr>
        <w:tc>
          <w:tcPr>
            <w:tcW w:type="dxa" w:w="1296"/>
            <w:vAlign w:val="top"/>
          </w:tcPr>
          <w:p>
            <w:pPr>
              <w:jc w:val="left"/>
            </w:pPr>
            <w:r/>
            <w:r>
              <w:rPr>
                <w:rFonts w:ascii="Arial" w:hAnsi="Arial"/>
                <w:b w:val="0"/>
                <w:sz w:val="18"/>
              </w:rPr>
              <w:t>6</w:t>
            </w:r>
          </w:p>
        </w:tc>
        <w:tc>
          <w:tcPr>
            <w:tcW w:type="dxa" w:w="8496"/>
            <w:vAlign w:val="top"/>
          </w:tcPr>
          <w:p>
            <w:pPr>
              <w:jc w:val="left"/>
            </w:pPr>
            <w:r/>
            <w:r>
              <w:rPr>
                <w:rFonts w:ascii="Arial" w:hAnsi="Arial"/>
                <w:b w:val="0"/>
                <w:sz w:val="18"/>
              </w:rPr>
              <w:t>Documentary sit-down</w:t>
            </w:r>
          </w:p>
        </w:tc>
      </w:tr>
      <w:tr>
        <w:tc>
          <w:tcPr>
            <w:tcW w:type="dxa" w:w="1296"/>
            <w:vAlign w:val="top"/>
          </w:tcPr>
          <w:p>
            <w:pPr>
              <w:jc w:val="left"/>
            </w:pPr>
            <w:r/>
            <w:r>
              <w:rPr>
                <w:rFonts w:ascii="Arial" w:hAnsi="Arial"/>
                <w:b w:val="0"/>
                <w:sz w:val="18"/>
              </w:rPr>
              <w:t>7</w:t>
            </w:r>
          </w:p>
        </w:tc>
        <w:tc>
          <w:tcPr>
            <w:tcW w:type="dxa" w:w="8496"/>
            <w:vAlign w:val="top"/>
          </w:tcPr>
          <w:p>
            <w:pPr>
              <w:jc w:val="left"/>
            </w:pPr>
            <w:r/>
            <w:r>
              <w:rPr>
                <w:rFonts w:ascii="Arial" w:hAnsi="Arial"/>
                <w:b w:val="0"/>
                <w:sz w:val="18"/>
              </w:rPr>
              <w:t>Documentary run-and-gun</w:t>
            </w:r>
          </w:p>
        </w:tc>
      </w:tr>
      <w:tr>
        <w:tc>
          <w:tcPr>
            <w:tcW w:type="dxa" w:w="1296"/>
            <w:vAlign w:val="top"/>
          </w:tcPr>
          <w:p>
            <w:pPr>
              <w:jc w:val="left"/>
            </w:pPr>
            <w:r/>
            <w:r>
              <w:rPr>
                <w:rFonts w:ascii="Arial" w:hAnsi="Arial"/>
                <w:b w:val="0"/>
                <w:sz w:val="18"/>
              </w:rPr>
              <w:t>8</w:t>
            </w:r>
          </w:p>
        </w:tc>
        <w:tc>
          <w:tcPr>
            <w:tcW w:type="dxa" w:w="8496"/>
            <w:vAlign w:val="top"/>
          </w:tcPr>
          <w:p>
            <w:pPr>
              <w:jc w:val="left"/>
            </w:pPr>
            <w:r/>
            <w:r>
              <w:rPr>
                <w:rFonts w:ascii="Arial" w:hAnsi="Arial"/>
                <w:b w:val="0"/>
                <w:sz w:val="18"/>
              </w:rPr>
              <w:t>Offload / import / proxy / archive</w:t>
            </w:r>
          </w:p>
        </w:tc>
      </w:tr>
      <w:tr>
        <w:tc>
          <w:tcPr>
            <w:tcW w:type="dxa" w:w="1296"/>
            <w:vAlign w:val="top"/>
          </w:tcPr>
          <w:p>
            <w:pPr>
              <w:jc w:val="left"/>
            </w:pPr>
            <w:r/>
            <w:r>
              <w:rPr>
                <w:rFonts w:ascii="Arial" w:hAnsi="Arial"/>
                <w:b w:val="0"/>
                <w:sz w:val="18"/>
              </w:rPr>
              <w:t>9</w:t>
            </w:r>
          </w:p>
        </w:tc>
        <w:tc>
          <w:tcPr>
            <w:tcW w:type="dxa" w:w="8496"/>
            <w:vAlign w:val="top"/>
          </w:tcPr>
          <w:p>
            <w:pPr>
              <w:jc w:val="left"/>
            </w:pPr>
            <w:r/>
            <w:r>
              <w:rPr>
                <w:rFonts w:ascii="Arial" w:hAnsi="Arial"/>
                <w:b w:val="0"/>
                <w:sz w:val="18"/>
              </w:rPr>
              <w:t>First 60 seconds on set</w:t>
            </w:r>
          </w:p>
        </w:tc>
      </w:tr>
      <w:tr>
        <w:tc>
          <w:tcPr>
            <w:tcW w:type="dxa" w:w="1296"/>
            <w:vAlign w:val="top"/>
          </w:tcPr>
          <w:p>
            <w:pPr>
              <w:jc w:val="left"/>
            </w:pPr>
            <w:r/>
            <w:r>
              <w:rPr>
                <w:rFonts w:ascii="Arial" w:hAnsi="Arial"/>
                <w:b w:val="0"/>
                <w:sz w:val="18"/>
              </w:rPr>
              <w:t>10</w:t>
            </w:r>
          </w:p>
        </w:tc>
        <w:tc>
          <w:tcPr>
            <w:tcW w:type="dxa" w:w="8496"/>
            <w:vAlign w:val="top"/>
          </w:tcPr>
          <w:p>
            <w:pPr>
              <w:jc w:val="left"/>
            </w:pPr>
            <w:r/>
            <w:r>
              <w:rPr>
                <w:rFonts w:ascii="Arial" w:hAnsi="Arial"/>
                <w:b w:val="0"/>
                <w:sz w:val="18"/>
              </w:rPr>
              <w:t>Troubleshooting crosswalk</w:t>
            </w:r>
          </w:p>
        </w:tc>
      </w:tr>
      <w:tr>
        <w:tc>
          <w:tcPr>
            <w:tcW w:type="dxa" w:w="1296"/>
            <w:vAlign w:val="top"/>
          </w:tcPr>
          <w:p>
            <w:pPr>
              <w:jc w:val="left"/>
            </w:pPr>
            <w:r/>
            <w:r>
              <w:rPr>
                <w:rFonts w:ascii="Arial" w:hAnsi="Arial"/>
                <w:b w:val="0"/>
                <w:sz w:val="18"/>
              </w:rPr>
              <w:t>11</w:t>
            </w:r>
          </w:p>
        </w:tc>
        <w:tc>
          <w:tcPr>
            <w:tcW w:type="dxa" w:w="8496"/>
            <w:vAlign w:val="top"/>
          </w:tcPr>
          <w:p>
            <w:pPr>
              <w:jc w:val="left"/>
            </w:pPr>
            <w:r/>
            <w:r>
              <w:rPr>
                <w:rFonts w:ascii="Arial" w:hAnsi="Arial"/>
                <w:b w:val="0"/>
                <w:sz w:val="18"/>
              </w:rPr>
              <w:t>Source map</w:t>
            </w:r>
          </w:p>
        </w:tc>
      </w:tr>
    </w:tbl>
    <w:p/>
    <w:p>
      <w:r>
        <w:br w:type="page"/>
      </w:r>
    </w:p>
    <w:p>
      <w:pPr>
        <w:pStyle w:val="Heading1"/>
      </w:pPr>
      <w:r>
        <w:t>1. Universal Setup Logic</w:t>
      </w:r>
    </w:p>
    <w:p>
      <w:r>
        <w:rPr>
          <w:rFonts w:ascii="Arial" w:hAnsi="Arial"/>
          <w:b w:val="0"/>
          <w:i w:val="0"/>
          <w:sz w:val="20"/>
        </w:rPr>
        <w:t>Each recipe uses the same operating skeleton. The specific scene changes the priority, but the control order remains consistent.</w:t>
      </w:r>
    </w:p>
    <w:p>
      <w:pPr>
        <w:pStyle w:val="ListNumber"/>
      </w:pPr>
      <w:r>
        <w:rPr>
          <w:rFonts w:ascii="Arial" w:hAnsi="Arial"/>
          <w:sz w:val="18"/>
        </w:rPr>
        <w:t>Confirm Cine EI and S-Gamut3.Cine/S-Log3.</w:t>
      </w:r>
    </w:p>
    <w:p>
      <w:pPr>
        <w:pStyle w:val="ListNumber"/>
      </w:pPr>
      <w:r>
        <w:rPr>
          <w:rFonts w:ascii="Arial" w:hAnsi="Arial"/>
          <w:sz w:val="18"/>
        </w:rPr>
        <w:t>Choose frame rate and normal shutter.</w:t>
      </w:r>
    </w:p>
    <w:p>
      <w:pPr>
        <w:pStyle w:val="ListNumber"/>
      </w:pPr>
      <w:r>
        <w:rPr>
          <w:rFonts w:ascii="Arial" w:hAnsi="Arial"/>
          <w:sz w:val="18"/>
        </w:rPr>
        <w:t>Choose aperture for the scene and focus reliability.</w:t>
      </w:r>
    </w:p>
    <w:p>
      <w:pPr>
        <w:pStyle w:val="ListNumber"/>
      </w:pPr>
      <w:r>
        <w:rPr>
          <w:rFonts w:ascii="Arial" w:hAnsi="Arial"/>
          <w:sz w:val="18"/>
        </w:rPr>
        <w:t>Choose Base ISO based on available or controllable light.</w:t>
      </w:r>
    </w:p>
    <w:p>
      <w:pPr>
        <w:pStyle w:val="ListNumber"/>
      </w:pPr>
      <w:r>
        <w:rPr>
          <w:rFonts w:ascii="Arial" w:hAnsi="Arial"/>
          <w:sz w:val="18"/>
        </w:rPr>
        <w:t>Use ND to place exposure after shutter/aperture are correct.</w:t>
      </w:r>
    </w:p>
    <w:p>
      <w:pPr>
        <w:pStyle w:val="ListNumber"/>
      </w:pPr>
      <w:r>
        <w:rPr>
          <w:rFonts w:ascii="Arial" w:hAnsi="Arial"/>
          <w:sz w:val="18"/>
        </w:rPr>
        <w:t>Set and lock white balance under the actual key light.</w:t>
      </w:r>
    </w:p>
    <w:p>
      <w:pPr>
        <w:pStyle w:val="ListNumber"/>
      </w:pPr>
      <w:r>
        <w:rPr>
          <w:rFonts w:ascii="Arial" w:hAnsi="Arial"/>
          <w:sz w:val="18"/>
        </w:rPr>
        <w:t>Set monitoring LUT and verify Internal Rec MLUT status.</w:t>
      </w:r>
    </w:p>
    <w:p>
      <w:pPr>
        <w:pStyle w:val="ListNumber"/>
      </w:pPr>
      <w:r>
        <w:rPr>
          <w:rFonts w:ascii="Arial" w:hAnsi="Arial"/>
          <w:sz w:val="18"/>
        </w:rPr>
        <w:t>Check exposure with waveform and zebras.</w:t>
      </w:r>
    </w:p>
    <w:p>
      <w:pPr>
        <w:pStyle w:val="ListNumber"/>
      </w:pPr>
      <w:r>
        <w:rPr>
          <w:rFonts w:ascii="Arial" w:hAnsi="Arial"/>
          <w:sz w:val="18"/>
        </w:rPr>
        <w:t>Check focus with magnifier/peaking/near-eye rule.</w:t>
      </w:r>
    </w:p>
    <w:p>
      <w:pPr>
        <w:pStyle w:val="ListNumber"/>
      </w:pPr>
      <w:r>
        <w:rPr>
          <w:rFonts w:ascii="Arial" w:hAnsi="Arial"/>
          <w:sz w:val="18"/>
        </w:rPr>
        <w:t>Confirm audio through the external Audio Field Setup Guide.</w:t>
      </w:r>
    </w:p>
    <w:p>
      <w:pPr>
        <w:pStyle w:val="ListNumber"/>
      </w:pPr>
      <w:r>
        <w:rPr>
          <w:rFonts w:ascii="Arial" w:hAnsi="Arial"/>
          <w:sz w:val="18"/>
        </w:rPr>
        <w:t>Record and play back a 10-second test before serious takes.</w:t>
      </w:r>
    </w:p>
    <w:p>
      <w:r>
        <w:br w:type="page"/>
      </w:r>
    </w:p>
    <w:p>
      <w:pPr>
        <w:pStyle w:val="Heading1"/>
      </w:pPr>
      <w:r>
        <w:t>2. Universal Stop Conditions</w:t>
      </w:r>
    </w:p>
    <w:tbl>
      <w:tblPr>
        <w:tblStyle w:val="TableGrid"/>
        <w:tblW w:type="auto" w:w="0"/>
        <w:jc w:val="center"/>
        <w:tblLook w:firstColumn="1" w:firstRow="1" w:lastColumn="0" w:lastRow="0" w:noHBand="0" w:noVBand="1" w:val="04A0"/>
      </w:tblPr>
      <w:tblGrid>
        <w:gridCol w:w="5184"/>
        <w:gridCol w:w="5184"/>
      </w:tblGrid>
      <w:tr>
        <w:tc>
          <w:tcPr>
            <w:tcW w:type="dxa" w:w="3888"/>
            <w:shd w:fill="1F4E79"/>
            <w:vAlign w:val="top"/>
          </w:tcPr>
          <w:p>
            <w:pPr>
              <w:jc w:val="left"/>
            </w:pPr>
            <w:r/>
            <w:r>
              <w:rPr>
                <w:rFonts w:ascii="Arial" w:hAnsi="Arial"/>
                <w:b/>
                <w:color w:val="FFFFFF"/>
                <w:sz w:val="18"/>
              </w:rPr>
              <w:t>Stop if...</w:t>
            </w:r>
          </w:p>
        </w:tc>
        <w:tc>
          <w:tcPr>
            <w:tcW w:type="dxa" w:w="5904"/>
            <w:shd w:fill="1F4E79"/>
            <w:vAlign w:val="top"/>
          </w:tcPr>
          <w:p>
            <w:pPr>
              <w:jc w:val="left"/>
            </w:pPr>
            <w:r/>
            <w:r>
              <w:rPr>
                <w:rFonts w:ascii="Arial" w:hAnsi="Arial"/>
                <w:b/>
                <w:color w:val="FFFFFF"/>
                <w:sz w:val="18"/>
              </w:rPr>
              <w:t>Corrective action</w:t>
            </w:r>
          </w:p>
        </w:tc>
      </w:tr>
      <w:tr>
        <w:tc>
          <w:tcPr>
            <w:tcW w:type="dxa" w:w="3888"/>
            <w:vAlign w:val="top"/>
          </w:tcPr>
          <w:p>
            <w:pPr>
              <w:jc w:val="left"/>
            </w:pPr>
            <w:r/>
            <w:r>
              <w:rPr>
                <w:rFonts w:ascii="Arial" w:hAnsi="Arial"/>
                <w:b w:val="0"/>
                <w:sz w:val="18"/>
              </w:rPr>
              <w:t>Audio not verified through the external guide.</w:t>
            </w:r>
          </w:p>
        </w:tc>
        <w:tc>
          <w:tcPr>
            <w:tcW w:type="dxa" w:w="5904"/>
            <w:vAlign w:val="top"/>
          </w:tcPr>
          <w:p>
            <w:pPr>
              <w:jc w:val="left"/>
            </w:pPr>
            <w:r/>
            <w:r>
              <w:rPr>
                <w:rFonts w:ascii="Arial" w:hAnsi="Arial"/>
                <w:b w:val="0"/>
                <w:sz w:val="18"/>
              </w:rPr>
              <w:t>Stop and perform the external audio routing/meter/headphone checklist.</w:t>
            </w:r>
          </w:p>
        </w:tc>
      </w:tr>
      <w:tr>
        <w:tc>
          <w:tcPr>
            <w:tcW w:type="dxa" w:w="3888"/>
            <w:vAlign w:val="top"/>
          </w:tcPr>
          <w:p>
            <w:pPr>
              <w:jc w:val="left"/>
            </w:pPr>
            <w:r/>
            <w:r>
              <w:rPr>
                <w:rFonts w:ascii="Arial" w:hAnsi="Arial"/>
                <w:b w:val="0"/>
                <w:sz w:val="18"/>
              </w:rPr>
              <w:t>Focus not checked on critical subject/near eye.</w:t>
            </w:r>
          </w:p>
        </w:tc>
        <w:tc>
          <w:tcPr>
            <w:tcW w:type="dxa" w:w="5904"/>
            <w:vAlign w:val="top"/>
          </w:tcPr>
          <w:p>
            <w:pPr>
              <w:jc w:val="left"/>
            </w:pPr>
            <w:r/>
            <w:r>
              <w:rPr>
                <w:rFonts w:ascii="Arial" w:hAnsi="Arial"/>
                <w:b w:val="0"/>
                <w:sz w:val="18"/>
              </w:rPr>
              <w:t>Use magnifier/peaking/AF check and recheck after movement or zoom.</w:t>
            </w:r>
          </w:p>
        </w:tc>
      </w:tr>
      <w:tr>
        <w:tc>
          <w:tcPr>
            <w:tcW w:type="dxa" w:w="3888"/>
            <w:vAlign w:val="top"/>
          </w:tcPr>
          <w:p>
            <w:pPr>
              <w:jc w:val="left"/>
            </w:pPr>
            <w:r/>
            <w:r>
              <w:rPr>
                <w:rFonts w:ascii="Arial" w:hAnsi="Arial"/>
                <w:b w:val="0"/>
                <w:sz w:val="18"/>
              </w:rPr>
              <w:t>Waveform/zebras not checked.</w:t>
            </w:r>
          </w:p>
        </w:tc>
        <w:tc>
          <w:tcPr>
            <w:tcW w:type="dxa" w:w="5904"/>
            <w:vAlign w:val="top"/>
          </w:tcPr>
          <w:p>
            <w:pPr>
              <w:jc w:val="left"/>
            </w:pPr>
            <w:r/>
            <w:r>
              <w:rPr>
                <w:rFonts w:ascii="Arial" w:hAnsi="Arial"/>
                <w:b w:val="0"/>
                <w:sz w:val="18"/>
              </w:rPr>
              <w:t>Do not rely on LCD brightness; confirm exposure truth.</w:t>
            </w:r>
          </w:p>
        </w:tc>
      </w:tr>
      <w:tr>
        <w:tc>
          <w:tcPr>
            <w:tcW w:type="dxa" w:w="3888"/>
            <w:vAlign w:val="top"/>
          </w:tcPr>
          <w:p>
            <w:pPr>
              <w:jc w:val="left"/>
            </w:pPr>
            <w:r/>
            <w:r>
              <w:rPr>
                <w:rFonts w:ascii="Arial" w:hAnsi="Arial"/>
                <w:b w:val="0"/>
                <w:sz w:val="18"/>
              </w:rPr>
              <w:t>Internal Rec MLUT status not verified.</w:t>
            </w:r>
          </w:p>
        </w:tc>
        <w:tc>
          <w:tcPr>
            <w:tcW w:type="dxa" w:w="5904"/>
            <w:vAlign w:val="top"/>
          </w:tcPr>
          <w:p>
            <w:pPr>
              <w:jc w:val="left"/>
            </w:pPr>
            <w:r/>
            <w:r>
              <w:rPr>
                <w:rFonts w:ascii="Arial" w:hAnsi="Arial"/>
                <w:b w:val="0"/>
                <w:sz w:val="18"/>
              </w:rPr>
              <w:t>Confirm whether you are recording log or deliberately baking LUT.</w:t>
            </w:r>
          </w:p>
        </w:tc>
      </w:tr>
      <w:tr>
        <w:tc>
          <w:tcPr>
            <w:tcW w:type="dxa" w:w="3888"/>
            <w:vAlign w:val="top"/>
          </w:tcPr>
          <w:p>
            <w:pPr>
              <w:jc w:val="left"/>
            </w:pPr>
            <w:r/>
            <w:r>
              <w:rPr>
                <w:rFonts w:ascii="Arial" w:hAnsi="Arial"/>
                <w:b w:val="0"/>
                <w:sz w:val="18"/>
              </w:rPr>
              <w:t>White balance is drifting or uncertain.</w:t>
            </w:r>
          </w:p>
        </w:tc>
        <w:tc>
          <w:tcPr>
            <w:tcW w:type="dxa" w:w="5904"/>
            <w:vAlign w:val="top"/>
          </w:tcPr>
          <w:p>
            <w:pPr>
              <w:jc w:val="left"/>
            </w:pPr>
            <w:r/>
            <w:r>
              <w:rPr>
                <w:rFonts w:ascii="Arial" w:hAnsi="Arial"/>
                <w:b w:val="0"/>
                <w:sz w:val="18"/>
              </w:rPr>
              <w:t>Disable ATW for controlled work; lock A/B/Preset under key light.</w:t>
            </w:r>
          </w:p>
        </w:tc>
      </w:tr>
      <w:tr>
        <w:tc>
          <w:tcPr>
            <w:tcW w:type="dxa" w:w="3888"/>
            <w:vAlign w:val="top"/>
          </w:tcPr>
          <w:p>
            <w:pPr>
              <w:jc w:val="left"/>
            </w:pPr>
            <w:r/>
            <w:r>
              <w:rPr>
                <w:rFonts w:ascii="Arial" w:hAnsi="Arial"/>
                <w:b w:val="0"/>
                <w:sz w:val="18"/>
              </w:rPr>
              <w:t>Card/reel identity not logged.</w:t>
            </w:r>
          </w:p>
        </w:tc>
        <w:tc>
          <w:tcPr>
            <w:tcW w:type="dxa" w:w="5904"/>
            <w:vAlign w:val="top"/>
          </w:tcPr>
          <w:p>
            <w:pPr>
              <w:jc w:val="left"/>
            </w:pPr>
            <w:r/>
            <w:r>
              <w:rPr>
                <w:rFonts w:ascii="Arial" w:hAnsi="Arial"/>
                <w:b w:val="0"/>
                <w:sz w:val="18"/>
              </w:rPr>
              <w:t>Log project, reel/card ID, and starting clip before proceeding.</w:t>
            </w:r>
          </w:p>
        </w:tc>
      </w:tr>
      <w:tr>
        <w:tc>
          <w:tcPr>
            <w:tcW w:type="dxa" w:w="3888"/>
            <w:vAlign w:val="top"/>
          </w:tcPr>
          <w:p>
            <w:pPr>
              <w:jc w:val="left"/>
            </w:pPr>
            <w:r/>
            <w:r>
              <w:rPr>
                <w:rFonts w:ascii="Arial" w:hAnsi="Arial"/>
                <w:b w:val="0"/>
                <w:sz w:val="18"/>
              </w:rPr>
              <w:t>No 10-second test playback before important work.</w:t>
            </w:r>
          </w:p>
        </w:tc>
        <w:tc>
          <w:tcPr>
            <w:tcW w:type="dxa" w:w="5904"/>
            <w:vAlign w:val="top"/>
          </w:tcPr>
          <w:p>
            <w:pPr>
              <w:jc w:val="left"/>
            </w:pPr>
            <w:r/>
            <w:r>
              <w:rPr>
                <w:rFonts w:ascii="Arial" w:hAnsi="Arial"/>
                <w:b w:val="0"/>
                <w:sz w:val="18"/>
              </w:rPr>
              <w:t>Record and review a technical test.</w:t>
            </w:r>
          </w:p>
        </w:tc>
      </w:tr>
    </w:tbl>
    <w:p/>
    <w:p>
      <w:r>
        <w:br w:type="page"/>
      </w:r>
    </w:p>
    <w:p>
      <w:pPr>
        <w:pStyle w:val="Heading1"/>
      </w:pPr>
      <w:r>
        <w:t>3. Recipe: One-Person Actor Reel - Indoor</w:t>
      </w:r>
    </w:p>
    <w:tbl>
      <w:tblPr>
        <w:tblStyle w:val="TableGrid"/>
        <w:tblW w:type="auto" w:w="0"/>
        <w:jc w:val="center"/>
        <w:tblLook w:firstColumn="1" w:firstRow="1" w:lastColumn="0" w:lastRow="0" w:noHBand="0" w:noVBand="1" w:val="04A0"/>
      </w:tblPr>
      <w:tblGrid>
        <w:gridCol w:w="5184"/>
        <w:gridCol w:w="5184"/>
      </w:tblGrid>
      <w:tr>
        <w:tc>
          <w:tcPr>
            <w:tcW w:type="dxa" w:w="2520"/>
            <w:shd w:fill="1F4E79"/>
            <w:vAlign w:val="top"/>
          </w:tcPr>
          <w:p>
            <w:pPr>
              <w:jc w:val="left"/>
            </w:pPr>
            <w:r/>
            <w:r>
              <w:rPr>
                <w:rFonts w:ascii="Arial" w:hAnsi="Arial"/>
                <w:b/>
                <w:color w:val="FFFFFF"/>
                <w:sz w:val="18"/>
              </w:rPr>
              <w:t>Decision area</w:t>
            </w:r>
          </w:p>
        </w:tc>
        <w:tc>
          <w:tcPr>
            <w:tcW w:type="dxa" w:w="7272"/>
            <w:shd w:fill="1F4E79"/>
            <w:vAlign w:val="top"/>
          </w:tcPr>
          <w:p>
            <w:pPr>
              <w:jc w:val="left"/>
            </w:pPr>
            <w:r/>
            <w:r>
              <w:rPr>
                <w:rFonts w:ascii="Arial" w:hAnsi="Arial"/>
                <w:b/>
                <w:color w:val="FFFFFF"/>
                <w:sz w:val="18"/>
              </w:rPr>
              <w:t>Recipe action</w:t>
            </w:r>
          </w:p>
        </w:tc>
      </w:tr>
      <w:tr>
        <w:tc>
          <w:tcPr>
            <w:tcW w:type="dxa" w:w="2520"/>
            <w:vAlign w:val="top"/>
          </w:tcPr>
          <w:p>
            <w:pPr>
              <w:jc w:val="left"/>
            </w:pPr>
            <w:r/>
            <w:r>
              <w:rPr>
                <w:rFonts w:ascii="Arial" w:hAnsi="Arial"/>
                <w:b w:val="0"/>
                <w:sz w:val="18"/>
              </w:rPr>
              <w:t>Primary objective</w:t>
            </w:r>
          </w:p>
        </w:tc>
        <w:tc>
          <w:tcPr>
            <w:tcW w:type="dxa" w:w="7272"/>
            <w:vAlign w:val="top"/>
          </w:tcPr>
          <w:p>
            <w:pPr>
              <w:jc w:val="left"/>
            </w:pPr>
            <w:r/>
            <w:r>
              <w:rPr>
                <w:rFonts w:ascii="Arial" w:hAnsi="Arial"/>
                <w:b w:val="0"/>
                <w:sz w:val="18"/>
              </w:rPr>
              <w:t>Sell performance clearly. The look must support the actor.</w:t>
            </w:r>
          </w:p>
        </w:tc>
      </w:tr>
      <w:tr>
        <w:tc>
          <w:tcPr>
            <w:tcW w:type="dxa" w:w="2520"/>
            <w:vAlign w:val="top"/>
          </w:tcPr>
          <w:p>
            <w:pPr>
              <w:jc w:val="left"/>
            </w:pPr>
            <w:r/>
            <w:r>
              <w:rPr>
                <w:rFonts w:ascii="Arial" w:hAnsi="Arial"/>
                <w:b w:val="0"/>
                <w:sz w:val="18"/>
              </w:rPr>
              <w:t>Camera setup</w:t>
            </w:r>
          </w:p>
        </w:tc>
        <w:tc>
          <w:tcPr>
            <w:tcW w:type="dxa" w:w="7272"/>
            <w:vAlign w:val="top"/>
          </w:tcPr>
          <w:p>
            <w:pPr>
              <w:jc w:val="left"/>
            </w:pPr>
            <w:r/>
            <w:r>
              <w:rPr>
                <w:rFonts w:ascii="Arial" w:hAnsi="Arial"/>
                <w:b w:val="0"/>
                <w:sz w:val="18"/>
              </w:rPr>
              <w:t>Use Indoor Cine EI card; record S-Gamut3.Cine/S-Log3; normal 24p shutter.</w:t>
            </w:r>
          </w:p>
        </w:tc>
      </w:tr>
      <w:tr>
        <w:tc>
          <w:tcPr>
            <w:tcW w:type="dxa" w:w="2520"/>
            <w:vAlign w:val="top"/>
          </w:tcPr>
          <w:p>
            <w:pPr>
              <w:jc w:val="left"/>
            </w:pPr>
            <w:r/>
            <w:r>
              <w:rPr>
                <w:rFonts w:ascii="Arial" w:hAnsi="Arial"/>
                <w:b w:val="0"/>
                <w:sz w:val="18"/>
              </w:rPr>
              <w:t>Base ISO</w:t>
            </w:r>
          </w:p>
        </w:tc>
        <w:tc>
          <w:tcPr>
            <w:tcW w:type="dxa" w:w="7272"/>
            <w:vAlign w:val="top"/>
          </w:tcPr>
          <w:p>
            <w:pPr>
              <w:jc w:val="left"/>
            </w:pPr>
            <w:r/>
            <w:r>
              <w:rPr>
                <w:rFonts w:ascii="Arial" w:hAnsi="Arial"/>
                <w:b w:val="0"/>
                <w:sz w:val="18"/>
              </w:rPr>
              <w:t>Prefer 800 when key light can be controlled. Use 12800 only when light cannot reasonably be added.</w:t>
            </w:r>
          </w:p>
        </w:tc>
      </w:tr>
      <w:tr>
        <w:tc>
          <w:tcPr>
            <w:tcW w:type="dxa" w:w="2520"/>
            <w:vAlign w:val="top"/>
          </w:tcPr>
          <w:p>
            <w:pPr>
              <w:jc w:val="left"/>
            </w:pPr>
            <w:r/>
            <w:r>
              <w:rPr>
                <w:rFonts w:ascii="Arial" w:hAnsi="Arial"/>
                <w:b w:val="0"/>
                <w:sz w:val="18"/>
              </w:rPr>
              <w:t>Aperture / focus</w:t>
            </w:r>
          </w:p>
        </w:tc>
        <w:tc>
          <w:tcPr>
            <w:tcW w:type="dxa" w:w="7272"/>
            <w:vAlign w:val="top"/>
          </w:tcPr>
          <w:p>
            <w:pPr>
              <w:jc w:val="left"/>
            </w:pPr>
            <w:r/>
            <w:r>
              <w:rPr>
                <w:rFonts w:ascii="Arial" w:hAnsi="Arial"/>
                <w:b w:val="0"/>
                <w:sz w:val="18"/>
              </w:rPr>
              <w:t>Close-up f/2.8-f/4 if focus is reliable; near eye is priority; recheck after reframing.</w:t>
            </w:r>
          </w:p>
        </w:tc>
      </w:tr>
      <w:tr>
        <w:tc>
          <w:tcPr>
            <w:tcW w:type="dxa" w:w="2520"/>
            <w:vAlign w:val="top"/>
          </w:tcPr>
          <w:p>
            <w:pPr>
              <w:jc w:val="left"/>
            </w:pPr>
            <w:r/>
            <w:r>
              <w:rPr>
                <w:rFonts w:ascii="Arial" w:hAnsi="Arial"/>
                <w:b w:val="0"/>
                <w:sz w:val="18"/>
              </w:rPr>
              <w:t>Lighting</w:t>
            </w:r>
          </w:p>
        </w:tc>
        <w:tc>
          <w:tcPr>
            <w:tcW w:type="dxa" w:w="7272"/>
            <w:vAlign w:val="top"/>
          </w:tcPr>
          <w:p>
            <w:pPr>
              <w:jc w:val="left"/>
            </w:pPr>
            <w:r/>
            <w:r>
              <w:rPr>
                <w:rFonts w:ascii="Arial" w:hAnsi="Arial"/>
                <w:b w:val="0"/>
                <w:sz w:val="18"/>
              </w:rPr>
              <w:t>Readable face, eye detail, restrained background. Negative fill for shape if the room is flat.</w:t>
            </w:r>
          </w:p>
        </w:tc>
      </w:tr>
      <w:tr>
        <w:tc>
          <w:tcPr>
            <w:tcW w:type="dxa" w:w="2520"/>
            <w:vAlign w:val="top"/>
          </w:tcPr>
          <w:p>
            <w:pPr>
              <w:jc w:val="left"/>
            </w:pPr>
            <w:r/>
            <w:r>
              <w:rPr>
                <w:rFonts w:ascii="Arial" w:hAnsi="Arial"/>
                <w:b w:val="0"/>
                <w:sz w:val="18"/>
              </w:rPr>
              <w:t>Palette</w:t>
            </w:r>
          </w:p>
        </w:tc>
        <w:tc>
          <w:tcPr>
            <w:tcW w:type="dxa" w:w="7272"/>
            <w:vAlign w:val="top"/>
          </w:tcPr>
          <w:p>
            <w:pPr>
              <w:jc w:val="left"/>
            </w:pPr>
            <w:r/>
            <w:r>
              <w:rPr>
                <w:rFonts w:ascii="Arial" w:hAnsi="Arial"/>
                <w:b w:val="0"/>
                <w:sz w:val="18"/>
              </w:rPr>
              <w:t>Mute background and wardrobe without deadening skin.</w:t>
            </w:r>
          </w:p>
        </w:tc>
      </w:tr>
      <w:tr>
        <w:tc>
          <w:tcPr>
            <w:tcW w:type="dxa" w:w="2520"/>
            <w:vAlign w:val="top"/>
          </w:tcPr>
          <w:p>
            <w:pPr>
              <w:jc w:val="left"/>
            </w:pPr>
            <w:r/>
            <w:r>
              <w:rPr>
                <w:rFonts w:ascii="Arial" w:hAnsi="Arial"/>
                <w:b w:val="0"/>
                <w:sz w:val="18"/>
              </w:rPr>
              <w:t>LUT</w:t>
            </w:r>
          </w:p>
        </w:tc>
        <w:tc>
          <w:tcPr>
            <w:tcW w:type="dxa" w:w="7272"/>
            <w:vAlign w:val="top"/>
          </w:tcPr>
          <w:p>
            <w:pPr>
              <w:jc w:val="left"/>
            </w:pPr>
            <w:r/>
            <w:r>
              <w:rPr>
                <w:rFonts w:ascii="Arial" w:hAnsi="Arial"/>
                <w:b w:val="0"/>
                <w:sz w:val="18"/>
              </w:rPr>
              <w:t>Monitor LUT On if useful; Internal Rec MLUT Off by default.</w:t>
            </w:r>
          </w:p>
        </w:tc>
      </w:tr>
      <w:tr>
        <w:tc>
          <w:tcPr>
            <w:tcW w:type="dxa" w:w="2520"/>
            <w:vAlign w:val="top"/>
          </w:tcPr>
          <w:p>
            <w:pPr>
              <w:jc w:val="left"/>
            </w:pPr>
            <w:r/>
            <w:r>
              <w:rPr>
                <w:rFonts w:ascii="Arial" w:hAnsi="Arial"/>
                <w:b w:val="0"/>
                <w:sz w:val="18"/>
              </w:rPr>
              <w:t>Audio</w:t>
            </w:r>
          </w:p>
        </w:tc>
        <w:tc>
          <w:tcPr>
            <w:tcW w:type="dxa" w:w="7272"/>
            <w:vAlign w:val="top"/>
          </w:tcPr>
          <w:p>
            <w:pPr>
              <w:jc w:val="left"/>
            </w:pPr>
            <w:r/>
            <w:r>
              <w:rPr>
                <w:rFonts w:ascii="Arial" w:hAnsi="Arial"/>
                <w:b w:val="0"/>
                <w:sz w:val="18"/>
              </w:rPr>
              <w:t>External Audio Field Setup Guide controls all wiring/routing/testing.</w:t>
            </w:r>
          </w:p>
        </w:tc>
      </w:tr>
      <w:tr>
        <w:tc>
          <w:tcPr>
            <w:tcW w:type="dxa" w:w="2520"/>
            <w:vAlign w:val="top"/>
          </w:tcPr>
          <w:p>
            <w:pPr>
              <w:jc w:val="left"/>
            </w:pPr>
            <w:r/>
            <w:r>
              <w:rPr>
                <w:rFonts w:ascii="Arial" w:hAnsi="Arial"/>
                <w:b w:val="0"/>
                <w:sz w:val="18"/>
              </w:rPr>
              <w:t>Test</w:t>
            </w:r>
          </w:p>
        </w:tc>
        <w:tc>
          <w:tcPr>
            <w:tcW w:type="dxa" w:w="7272"/>
            <w:vAlign w:val="top"/>
          </w:tcPr>
          <w:p>
            <w:pPr>
              <w:jc w:val="left"/>
            </w:pPr>
            <w:r/>
            <w:r>
              <w:rPr>
                <w:rFonts w:ascii="Arial" w:hAnsi="Arial"/>
                <w:b w:val="0"/>
                <w:sz w:val="18"/>
              </w:rPr>
              <w:t>Record/review 10-second technical test for face, eyes, focus, audio, and log/LUT state.</w:t>
            </w:r>
          </w:p>
        </w:tc>
      </w:tr>
    </w:tbl>
    <w:p/>
    <w:tbl>
      <w:tblPr>
        <w:tblW w:type="auto" w:w="0"/>
        <w:jc w:val="center"/>
        <w:tblLook w:firstColumn="1" w:firstRow="1" w:lastColumn="0" w:lastRow="0" w:noHBand="0" w:noVBand="1" w:val="04A0"/>
      </w:tblPr>
      <w:tblGrid>
        <w:gridCol w:w="10368"/>
      </w:tblGrid>
      <w:tr>
        <w:tc>
          <w:tcPr>
            <w:tcW w:type="dxa" w:w="10368"/>
            <w:shd w:fill="F2F2F2"/>
          </w:tcPr>
          <w:p>
            <w:r>
              <w:rPr>
                <w:rFonts w:ascii="Arial" w:hAnsi="Arial"/>
                <w:b/>
                <w:sz w:val="18"/>
              </w:rPr>
              <w:t xml:space="preserve">Deep reference: </w:t>
            </w:r>
            <w:r>
              <w:rPr>
                <w:rFonts w:ascii="Arial" w:hAnsi="Arial"/>
                <w:sz w:val="18"/>
              </w:rPr>
              <w:t>Handbook pp. 68-127, 171-198, 241-258, and 349-352. Audio: external guide.</w:t>
            </w:r>
          </w:p>
        </w:tc>
      </w:tr>
    </w:tbl>
    <w:p/>
    <w:p>
      <w:r>
        <w:br w:type="page"/>
      </w:r>
    </w:p>
    <w:p>
      <w:pPr>
        <w:pStyle w:val="Heading1"/>
      </w:pPr>
      <w:r>
        <w:t>4. Recipe: Two-Person Dialogue or Interview</w:t>
      </w:r>
    </w:p>
    <w:tbl>
      <w:tblPr>
        <w:tblStyle w:val="TableGrid"/>
        <w:tblW w:type="auto" w:w="0"/>
        <w:jc w:val="center"/>
        <w:tblLook w:firstColumn="1" w:firstRow="1" w:lastColumn="0" w:lastRow="0" w:noHBand="0" w:noVBand="1" w:val="04A0"/>
      </w:tblPr>
      <w:tblGrid>
        <w:gridCol w:w="5184"/>
        <w:gridCol w:w="5184"/>
      </w:tblGrid>
      <w:tr>
        <w:tc>
          <w:tcPr>
            <w:tcW w:type="dxa" w:w="2520"/>
            <w:shd w:fill="1F4E79"/>
            <w:vAlign w:val="top"/>
          </w:tcPr>
          <w:p>
            <w:pPr>
              <w:jc w:val="left"/>
            </w:pPr>
            <w:r/>
            <w:r>
              <w:rPr>
                <w:rFonts w:ascii="Arial" w:hAnsi="Arial"/>
                <w:b/>
                <w:color w:val="FFFFFF"/>
                <w:sz w:val="18"/>
              </w:rPr>
              <w:t>Decision area</w:t>
            </w:r>
          </w:p>
        </w:tc>
        <w:tc>
          <w:tcPr>
            <w:tcW w:type="dxa" w:w="7272"/>
            <w:shd w:fill="1F4E79"/>
            <w:vAlign w:val="top"/>
          </w:tcPr>
          <w:p>
            <w:pPr>
              <w:jc w:val="left"/>
            </w:pPr>
            <w:r/>
            <w:r>
              <w:rPr>
                <w:rFonts w:ascii="Arial" w:hAnsi="Arial"/>
                <w:b/>
                <w:color w:val="FFFFFF"/>
                <w:sz w:val="18"/>
              </w:rPr>
              <w:t>Recipe action</w:t>
            </w:r>
          </w:p>
        </w:tc>
      </w:tr>
      <w:tr>
        <w:tc>
          <w:tcPr>
            <w:tcW w:type="dxa" w:w="2520"/>
            <w:vAlign w:val="top"/>
          </w:tcPr>
          <w:p>
            <w:pPr>
              <w:jc w:val="left"/>
            </w:pPr>
            <w:r/>
            <w:r>
              <w:rPr>
                <w:rFonts w:ascii="Arial" w:hAnsi="Arial"/>
                <w:b w:val="0"/>
                <w:sz w:val="18"/>
              </w:rPr>
              <w:t>Primary objective</w:t>
            </w:r>
          </w:p>
        </w:tc>
        <w:tc>
          <w:tcPr>
            <w:tcW w:type="dxa" w:w="7272"/>
            <w:vAlign w:val="top"/>
          </w:tcPr>
          <w:p>
            <w:pPr>
              <w:jc w:val="left"/>
            </w:pPr>
            <w:r/>
            <w:r>
              <w:rPr>
                <w:rFonts w:ascii="Arial" w:hAnsi="Arial"/>
                <w:b w:val="0"/>
                <w:sz w:val="18"/>
              </w:rPr>
              <w:t>Both people must cut together and remain intelligible.</w:t>
            </w:r>
          </w:p>
        </w:tc>
      </w:tr>
      <w:tr>
        <w:tc>
          <w:tcPr>
            <w:tcW w:type="dxa" w:w="2520"/>
            <w:vAlign w:val="top"/>
          </w:tcPr>
          <w:p>
            <w:pPr>
              <w:jc w:val="left"/>
            </w:pPr>
            <w:r/>
            <w:r>
              <w:rPr>
                <w:rFonts w:ascii="Arial" w:hAnsi="Arial"/>
                <w:b w:val="0"/>
                <w:sz w:val="18"/>
              </w:rPr>
              <w:t>Camera setup</w:t>
            </w:r>
          </w:p>
        </w:tc>
        <w:tc>
          <w:tcPr>
            <w:tcW w:type="dxa" w:w="7272"/>
            <w:vAlign w:val="top"/>
          </w:tcPr>
          <w:p>
            <w:pPr>
              <w:jc w:val="left"/>
            </w:pPr>
            <w:r/>
            <w:r>
              <w:rPr>
                <w:rFonts w:ascii="Arial" w:hAnsi="Arial"/>
                <w:b w:val="0"/>
                <w:sz w:val="18"/>
              </w:rPr>
              <w:t>Choose Indoor or Outdoor Cine EI card based on location; normal shutter; WB locked for continuity.</w:t>
            </w:r>
          </w:p>
        </w:tc>
      </w:tr>
      <w:tr>
        <w:tc>
          <w:tcPr>
            <w:tcW w:type="dxa" w:w="2520"/>
            <w:vAlign w:val="top"/>
          </w:tcPr>
          <w:p>
            <w:pPr>
              <w:jc w:val="left"/>
            </w:pPr>
            <w:r/>
            <w:r>
              <w:rPr>
                <w:rFonts w:ascii="Arial" w:hAnsi="Arial"/>
                <w:b w:val="0"/>
                <w:sz w:val="18"/>
              </w:rPr>
              <w:t>Aperture / depth</w:t>
            </w:r>
          </w:p>
        </w:tc>
        <w:tc>
          <w:tcPr>
            <w:tcW w:type="dxa" w:w="7272"/>
            <w:vAlign w:val="top"/>
          </w:tcPr>
          <w:p>
            <w:pPr>
              <w:jc w:val="left"/>
            </w:pPr>
            <w:r/>
            <w:r>
              <w:rPr>
                <w:rFonts w:ascii="Arial" w:hAnsi="Arial"/>
                <w:b w:val="0"/>
                <w:sz w:val="18"/>
              </w:rPr>
              <w:t>Use enough depth for two subjects and movement; f/4-f/5.6 is often safer than wide-open.</w:t>
            </w:r>
          </w:p>
        </w:tc>
      </w:tr>
      <w:tr>
        <w:tc>
          <w:tcPr>
            <w:tcW w:type="dxa" w:w="2520"/>
            <w:vAlign w:val="top"/>
          </w:tcPr>
          <w:p>
            <w:pPr>
              <w:jc w:val="left"/>
            </w:pPr>
            <w:r/>
            <w:r>
              <w:rPr>
                <w:rFonts w:ascii="Arial" w:hAnsi="Arial"/>
                <w:b w:val="0"/>
                <w:sz w:val="18"/>
              </w:rPr>
              <w:t>Coverage</w:t>
            </w:r>
          </w:p>
        </w:tc>
        <w:tc>
          <w:tcPr>
            <w:tcW w:type="dxa" w:w="7272"/>
            <w:vAlign w:val="top"/>
          </w:tcPr>
          <w:p>
            <w:pPr>
              <w:jc w:val="left"/>
            </w:pPr>
            <w:r/>
            <w:r>
              <w:rPr>
                <w:rFonts w:ascii="Arial" w:hAnsi="Arial"/>
                <w:b w:val="0"/>
                <w:sz w:val="18"/>
              </w:rPr>
              <w:t>Match contrast, color direction, background brightness, and lens choices across angles.</w:t>
            </w:r>
          </w:p>
        </w:tc>
      </w:tr>
      <w:tr>
        <w:tc>
          <w:tcPr>
            <w:tcW w:type="dxa" w:w="2520"/>
            <w:vAlign w:val="top"/>
          </w:tcPr>
          <w:p>
            <w:pPr>
              <w:jc w:val="left"/>
            </w:pPr>
            <w:r/>
            <w:r>
              <w:rPr>
                <w:rFonts w:ascii="Arial" w:hAnsi="Arial"/>
                <w:b w:val="0"/>
                <w:sz w:val="18"/>
              </w:rPr>
              <w:t>Lighting style</w:t>
            </w:r>
          </w:p>
        </w:tc>
        <w:tc>
          <w:tcPr>
            <w:tcW w:type="dxa" w:w="7272"/>
            <w:vAlign w:val="top"/>
          </w:tcPr>
          <w:p>
            <w:pPr>
              <w:jc w:val="left"/>
            </w:pPr>
            <w:r/>
            <w:r>
              <w:rPr>
                <w:rFonts w:ascii="Arial" w:hAnsi="Arial"/>
                <w:b w:val="0"/>
                <w:sz w:val="18"/>
              </w:rPr>
              <w:t>Feature dialogue: motivated source and continuity. Documentary interview: clean face, speed, credibility.</w:t>
            </w:r>
          </w:p>
        </w:tc>
      </w:tr>
      <w:tr>
        <w:tc>
          <w:tcPr>
            <w:tcW w:type="dxa" w:w="2520"/>
            <w:vAlign w:val="top"/>
          </w:tcPr>
          <w:p>
            <w:pPr>
              <w:jc w:val="left"/>
            </w:pPr>
            <w:r/>
            <w:r>
              <w:rPr>
                <w:rFonts w:ascii="Arial" w:hAnsi="Arial"/>
                <w:b w:val="0"/>
                <w:sz w:val="18"/>
              </w:rPr>
              <w:t>Focus</w:t>
            </w:r>
          </w:p>
        </w:tc>
        <w:tc>
          <w:tcPr>
            <w:tcW w:type="dxa" w:w="7272"/>
            <w:vAlign w:val="top"/>
          </w:tcPr>
          <w:p>
            <w:pPr>
              <w:jc w:val="left"/>
            </w:pPr>
            <w:r/>
            <w:r>
              <w:rPr>
                <w:rFonts w:ascii="Arial" w:hAnsi="Arial"/>
                <w:b w:val="0"/>
                <w:sz w:val="18"/>
              </w:rPr>
              <w:t>Check both planes and decide whether Face/Eye AF, Push AF, or manual is safer.</w:t>
            </w:r>
          </w:p>
        </w:tc>
      </w:tr>
      <w:tr>
        <w:tc>
          <w:tcPr>
            <w:tcW w:type="dxa" w:w="2520"/>
            <w:vAlign w:val="top"/>
          </w:tcPr>
          <w:p>
            <w:pPr>
              <w:jc w:val="left"/>
            </w:pPr>
            <w:r/>
            <w:r>
              <w:rPr>
                <w:rFonts w:ascii="Arial" w:hAnsi="Arial"/>
                <w:b w:val="0"/>
                <w:sz w:val="18"/>
              </w:rPr>
              <w:t>Audio</w:t>
            </w:r>
          </w:p>
        </w:tc>
        <w:tc>
          <w:tcPr>
            <w:tcW w:type="dxa" w:w="7272"/>
            <w:vAlign w:val="top"/>
          </w:tcPr>
          <w:p>
            <w:pPr>
              <w:jc w:val="left"/>
            </w:pPr>
            <w:r/>
            <w:r>
              <w:rPr>
                <w:rFonts w:ascii="Arial" w:hAnsi="Arial"/>
                <w:b w:val="0"/>
                <w:sz w:val="18"/>
              </w:rPr>
              <w:t>Use external guide; two-speaker audio failure ruins the scene faster than mild image imperfection.</w:t>
            </w:r>
          </w:p>
        </w:tc>
      </w:tr>
      <w:tr>
        <w:tc>
          <w:tcPr>
            <w:tcW w:type="dxa" w:w="2520"/>
            <w:vAlign w:val="top"/>
          </w:tcPr>
          <w:p>
            <w:pPr>
              <w:jc w:val="left"/>
            </w:pPr>
            <w:r/>
            <w:r>
              <w:rPr>
                <w:rFonts w:ascii="Arial" w:hAnsi="Arial"/>
                <w:b w:val="0"/>
                <w:sz w:val="18"/>
              </w:rPr>
              <w:t>Test</w:t>
            </w:r>
          </w:p>
        </w:tc>
        <w:tc>
          <w:tcPr>
            <w:tcW w:type="dxa" w:w="7272"/>
            <w:vAlign w:val="top"/>
          </w:tcPr>
          <w:p>
            <w:pPr>
              <w:jc w:val="left"/>
            </w:pPr>
            <w:r/>
            <w:r>
              <w:rPr>
                <w:rFonts w:ascii="Arial" w:hAnsi="Arial"/>
                <w:b w:val="0"/>
                <w:sz w:val="18"/>
              </w:rPr>
              <w:t>TX/person channel test if using two lavs; playback check before the real take.</w:t>
            </w:r>
          </w:p>
        </w:tc>
      </w:tr>
    </w:tbl>
    <w:p/>
    <w:tbl>
      <w:tblPr>
        <w:tblW w:type="auto" w:w="0"/>
        <w:jc w:val="center"/>
        <w:tblLook w:firstColumn="1" w:firstRow="1" w:lastColumn="0" w:lastRow="0" w:noHBand="0" w:noVBand="1" w:val="04A0"/>
      </w:tblPr>
      <w:tblGrid>
        <w:gridCol w:w="10368"/>
      </w:tblGrid>
      <w:tr>
        <w:tc>
          <w:tcPr>
            <w:tcW w:type="dxa" w:w="10368"/>
            <w:shd w:fill="F2F2F2"/>
          </w:tcPr>
          <w:p>
            <w:r>
              <w:rPr>
                <w:rFonts w:ascii="Arial" w:hAnsi="Arial"/>
                <w:b/>
                <w:sz w:val="18"/>
              </w:rPr>
              <w:t xml:space="preserve">Deep reference: </w:t>
            </w:r>
            <w:r>
              <w:rPr>
                <w:rFonts w:ascii="Arial" w:hAnsi="Arial"/>
                <w:sz w:val="18"/>
              </w:rPr>
              <w:t>Handbook pp. 86-99, 192-208, 208-223, and 241-258. Audio: external guide.</w:t>
            </w:r>
          </w:p>
        </w:tc>
      </w:tr>
    </w:tbl>
    <w:p/>
    <w:p>
      <w:r>
        <w:br w:type="page"/>
      </w:r>
    </w:p>
    <w:p>
      <w:pPr>
        <w:pStyle w:val="Heading1"/>
      </w:pPr>
      <w:r>
        <w:t>5. Recipe: Exterior Muted-Cinematic Dialogue</w:t>
      </w:r>
    </w:p>
    <w:tbl>
      <w:tblPr>
        <w:tblStyle w:val="TableGrid"/>
        <w:tblW w:type="auto" w:w="0"/>
        <w:jc w:val="center"/>
        <w:tblLook w:firstColumn="1" w:firstRow="1" w:lastColumn="0" w:lastRow="0" w:noHBand="0" w:noVBand="1" w:val="04A0"/>
      </w:tblPr>
      <w:tblGrid>
        <w:gridCol w:w="5184"/>
        <w:gridCol w:w="5184"/>
      </w:tblGrid>
      <w:tr>
        <w:tc>
          <w:tcPr>
            <w:tcW w:type="dxa" w:w="2520"/>
            <w:shd w:fill="1F4E79"/>
            <w:vAlign w:val="top"/>
          </w:tcPr>
          <w:p>
            <w:pPr>
              <w:jc w:val="left"/>
            </w:pPr>
            <w:r/>
            <w:r>
              <w:rPr>
                <w:rFonts w:ascii="Arial" w:hAnsi="Arial"/>
                <w:b/>
                <w:color w:val="FFFFFF"/>
                <w:sz w:val="18"/>
              </w:rPr>
              <w:t>Decision area</w:t>
            </w:r>
          </w:p>
        </w:tc>
        <w:tc>
          <w:tcPr>
            <w:tcW w:type="dxa" w:w="7272"/>
            <w:shd w:fill="1F4E79"/>
            <w:vAlign w:val="top"/>
          </w:tcPr>
          <w:p>
            <w:pPr>
              <w:jc w:val="left"/>
            </w:pPr>
            <w:r/>
            <w:r>
              <w:rPr>
                <w:rFonts w:ascii="Arial" w:hAnsi="Arial"/>
                <w:b/>
                <w:color w:val="FFFFFF"/>
                <w:sz w:val="18"/>
              </w:rPr>
              <w:t>Recipe action</w:t>
            </w:r>
          </w:p>
        </w:tc>
      </w:tr>
      <w:tr>
        <w:tc>
          <w:tcPr>
            <w:tcW w:type="dxa" w:w="2520"/>
            <w:vAlign w:val="top"/>
          </w:tcPr>
          <w:p>
            <w:pPr>
              <w:jc w:val="left"/>
            </w:pPr>
            <w:r/>
            <w:r>
              <w:rPr>
                <w:rFonts w:ascii="Arial" w:hAnsi="Arial"/>
                <w:b w:val="0"/>
                <w:sz w:val="18"/>
              </w:rPr>
              <w:t>Primary objective</w:t>
            </w:r>
          </w:p>
        </w:tc>
        <w:tc>
          <w:tcPr>
            <w:tcW w:type="dxa" w:w="7272"/>
            <w:vAlign w:val="top"/>
          </w:tcPr>
          <w:p>
            <w:pPr>
              <w:jc w:val="left"/>
            </w:pPr>
            <w:r/>
            <w:r>
              <w:rPr>
                <w:rFonts w:ascii="Arial" w:hAnsi="Arial"/>
                <w:b w:val="0"/>
                <w:sz w:val="18"/>
              </w:rPr>
              <w:t>Clean faces and controlled highlights in natural exterior light.</w:t>
            </w:r>
          </w:p>
        </w:tc>
      </w:tr>
      <w:tr>
        <w:tc>
          <w:tcPr>
            <w:tcW w:type="dxa" w:w="2520"/>
            <w:vAlign w:val="top"/>
          </w:tcPr>
          <w:p>
            <w:pPr>
              <w:jc w:val="left"/>
            </w:pPr>
            <w:r/>
            <w:r>
              <w:rPr>
                <w:rFonts w:ascii="Arial" w:hAnsi="Arial"/>
                <w:b w:val="0"/>
                <w:sz w:val="18"/>
              </w:rPr>
              <w:t>Base ISO</w:t>
            </w:r>
          </w:p>
        </w:tc>
        <w:tc>
          <w:tcPr>
            <w:tcW w:type="dxa" w:w="7272"/>
            <w:vAlign w:val="top"/>
          </w:tcPr>
          <w:p>
            <w:pPr>
              <w:jc w:val="left"/>
            </w:pPr>
            <w:r/>
            <w:r>
              <w:rPr>
                <w:rFonts w:ascii="Arial" w:hAnsi="Arial"/>
                <w:b w:val="0"/>
                <w:sz w:val="18"/>
              </w:rPr>
              <w:t>Base ISO 800 for normal daylight/open shade.</w:t>
            </w:r>
          </w:p>
        </w:tc>
      </w:tr>
      <w:tr>
        <w:tc>
          <w:tcPr>
            <w:tcW w:type="dxa" w:w="2520"/>
            <w:vAlign w:val="top"/>
          </w:tcPr>
          <w:p>
            <w:pPr>
              <w:jc w:val="left"/>
            </w:pPr>
            <w:r/>
            <w:r>
              <w:rPr>
                <w:rFonts w:ascii="Arial" w:hAnsi="Arial"/>
                <w:b w:val="0"/>
                <w:sz w:val="18"/>
              </w:rPr>
              <w:t>Shutter</w:t>
            </w:r>
          </w:p>
        </w:tc>
        <w:tc>
          <w:tcPr>
            <w:tcW w:type="dxa" w:w="7272"/>
            <w:vAlign w:val="top"/>
          </w:tcPr>
          <w:p>
            <w:pPr>
              <w:jc w:val="left"/>
            </w:pPr>
            <w:r/>
            <w:r>
              <w:rPr>
                <w:rFonts w:ascii="Arial" w:hAnsi="Arial"/>
                <w:b w:val="0"/>
                <w:sz w:val="18"/>
              </w:rPr>
              <w:t>Keep 24p = 1/48 or 180 degrees unless stylized motion is intentional.</w:t>
            </w:r>
          </w:p>
        </w:tc>
      </w:tr>
      <w:tr>
        <w:tc>
          <w:tcPr>
            <w:tcW w:type="dxa" w:w="2520"/>
            <w:vAlign w:val="top"/>
          </w:tcPr>
          <w:p>
            <w:pPr>
              <w:jc w:val="left"/>
            </w:pPr>
            <w:r/>
            <w:r>
              <w:rPr>
                <w:rFonts w:ascii="Arial" w:hAnsi="Arial"/>
                <w:b w:val="0"/>
                <w:sz w:val="18"/>
              </w:rPr>
              <w:t>ND</w:t>
            </w:r>
          </w:p>
        </w:tc>
        <w:tc>
          <w:tcPr>
            <w:tcW w:type="dxa" w:w="7272"/>
            <w:vAlign w:val="top"/>
          </w:tcPr>
          <w:p>
            <w:pPr>
              <w:jc w:val="left"/>
            </w:pPr>
            <w:r/>
            <w:r>
              <w:rPr>
                <w:rFonts w:ascii="Arial" w:hAnsi="Arial"/>
                <w:b w:val="0"/>
                <w:sz w:val="18"/>
              </w:rPr>
              <w:t>Use Variable ND to hold chosen aperture; do not raise shutter just because the scene is bright.</w:t>
            </w:r>
          </w:p>
        </w:tc>
      </w:tr>
      <w:tr>
        <w:tc>
          <w:tcPr>
            <w:tcW w:type="dxa" w:w="2520"/>
            <w:vAlign w:val="top"/>
          </w:tcPr>
          <w:p>
            <w:pPr>
              <w:jc w:val="left"/>
            </w:pPr>
            <w:r/>
            <w:r>
              <w:rPr>
                <w:rFonts w:ascii="Arial" w:hAnsi="Arial"/>
                <w:b w:val="0"/>
                <w:sz w:val="18"/>
              </w:rPr>
              <w:t>Light strategy</w:t>
            </w:r>
          </w:p>
        </w:tc>
        <w:tc>
          <w:tcPr>
            <w:tcW w:type="dxa" w:w="7272"/>
            <w:vAlign w:val="top"/>
          </w:tcPr>
          <w:p>
            <w:pPr>
              <w:jc w:val="left"/>
            </w:pPr>
            <w:r/>
            <w:r>
              <w:rPr>
                <w:rFonts w:ascii="Arial" w:hAnsi="Arial"/>
                <w:b w:val="0"/>
                <w:sz w:val="18"/>
              </w:rPr>
              <w:t>Choose shade, negative fill, controlled background, or sun angle before fighting bad light.</w:t>
            </w:r>
          </w:p>
        </w:tc>
      </w:tr>
      <w:tr>
        <w:tc>
          <w:tcPr>
            <w:tcW w:type="dxa" w:w="2520"/>
            <w:vAlign w:val="top"/>
          </w:tcPr>
          <w:p>
            <w:pPr>
              <w:jc w:val="left"/>
            </w:pPr>
            <w:r/>
            <w:r>
              <w:rPr>
                <w:rFonts w:ascii="Arial" w:hAnsi="Arial"/>
                <w:b w:val="0"/>
                <w:sz w:val="18"/>
              </w:rPr>
              <w:t>WB</w:t>
            </w:r>
          </w:p>
        </w:tc>
        <w:tc>
          <w:tcPr>
            <w:tcW w:type="dxa" w:w="7272"/>
            <w:vAlign w:val="top"/>
          </w:tcPr>
          <w:p>
            <w:pPr>
              <w:jc w:val="left"/>
            </w:pPr>
            <w:r/>
            <w:r>
              <w:rPr>
                <w:rFonts w:ascii="Arial" w:hAnsi="Arial"/>
                <w:b w:val="0"/>
                <w:sz w:val="18"/>
              </w:rPr>
              <w:t>Custom WB or fixed daylight strategy based on continuity needs. Avoid ATW for controlled work.</w:t>
            </w:r>
          </w:p>
        </w:tc>
      </w:tr>
      <w:tr>
        <w:tc>
          <w:tcPr>
            <w:tcW w:type="dxa" w:w="2520"/>
            <w:vAlign w:val="top"/>
          </w:tcPr>
          <w:p>
            <w:pPr>
              <w:jc w:val="left"/>
            </w:pPr>
            <w:r/>
            <w:r>
              <w:rPr>
                <w:rFonts w:ascii="Arial" w:hAnsi="Arial"/>
                <w:b w:val="0"/>
                <w:sz w:val="18"/>
              </w:rPr>
              <w:t>Exposure tools</w:t>
            </w:r>
          </w:p>
        </w:tc>
        <w:tc>
          <w:tcPr>
            <w:tcW w:type="dxa" w:w="7272"/>
            <w:vAlign w:val="top"/>
          </w:tcPr>
          <w:p>
            <w:pPr>
              <w:jc w:val="left"/>
            </w:pPr>
            <w:r/>
            <w:r>
              <w:rPr>
                <w:rFonts w:ascii="Arial" w:hAnsi="Arial"/>
                <w:b w:val="0"/>
                <w:sz w:val="18"/>
              </w:rPr>
              <w:t>Balance face and highlights with waveform/zebras; do not judge by LCD alone.</w:t>
            </w:r>
          </w:p>
        </w:tc>
      </w:tr>
      <w:tr>
        <w:tc>
          <w:tcPr>
            <w:tcW w:type="dxa" w:w="2520"/>
            <w:vAlign w:val="top"/>
          </w:tcPr>
          <w:p>
            <w:pPr>
              <w:jc w:val="left"/>
            </w:pPr>
            <w:r/>
            <w:r>
              <w:rPr>
                <w:rFonts w:ascii="Arial" w:hAnsi="Arial"/>
                <w:b w:val="0"/>
                <w:sz w:val="18"/>
              </w:rPr>
              <w:t>Audio/wind</w:t>
            </w:r>
          </w:p>
        </w:tc>
        <w:tc>
          <w:tcPr>
            <w:tcW w:type="dxa" w:w="7272"/>
            <w:vAlign w:val="top"/>
          </w:tcPr>
          <w:p>
            <w:pPr>
              <w:jc w:val="left"/>
            </w:pPr>
            <w:r/>
            <w:r>
              <w:rPr>
                <w:rFonts w:ascii="Arial" w:hAnsi="Arial"/>
                <w:b w:val="0"/>
                <w:sz w:val="18"/>
              </w:rPr>
              <w:t>External audio guide controls wind plan, mic placement, routing, and monitoring.</w:t>
            </w:r>
          </w:p>
        </w:tc>
      </w:tr>
    </w:tbl>
    <w:p/>
    <w:tbl>
      <w:tblPr>
        <w:tblW w:type="auto" w:w="0"/>
        <w:jc w:val="center"/>
        <w:tblLook w:firstColumn="1" w:firstRow="1" w:lastColumn="0" w:lastRow="0" w:noHBand="0" w:noVBand="1" w:val="04A0"/>
      </w:tblPr>
      <w:tblGrid>
        <w:gridCol w:w="10368"/>
      </w:tblGrid>
      <w:tr>
        <w:tc>
          <w:tcPr>
            <w:tcW w:type="dxa" w:w="10368"/>
            <w:shd w:fill="F2F2F2"/>
          </w:tcPr>
          <w:p>
            <w:r>
              <w:rPr>
                <w:rFonts w:ascii="Arial" w:hAnsi="Arial"/>
                <w:b/>
                <w:sz w:val="18"/>
              </w:rPr>
              <w:t xml:space="preserve">Deep reference: </w:t>
            </w:r>
            <w:r>
              <w:rPr>
                <w:rFonts w:ascii="Arial" w:hAnsi="Arial"/>
                <w:sz w:val="18"/>
              </w:rPr>
              <w:t>Handbook pp. 82-86, 112-127, 196-206, and 352-356. Audio: external guide.</w:t>
            </w:r>
          </w:p>
        </w:tc>
      </w:tr>
    </w:tbl>
    <w:p/>
    <w:p>
      <w:r>
        <w:br w:type="page"/>
      </w:r>
    </w:p>
    <w:p>
      <w:pPr>
        <w:pStyle w:val="Heading1"/>
      </w:pPr>
      <w:r>
        <w:t>6. Recipe: Documentary Sit-Down</w:t>
      </w:r>
    </w:p>
    <w:tbl>
      <w:tblPr>
        <w:tblStyle w:val="TableGrid"/>
        <w:tblW w:type="auto" w:w="0"/>
        <w:jc w:val="center"/>
        <w:tblLook w:firstColumn="1" w:firstRow="1" w:lastColumn="0" w:lastRow="0" w:noHBand="0" w:noVBand="1" w:val="04A0"/>
      </w:tblPr>
      <w:tblGrid>
        <w:gridCol w:w="5184"/>
        <w:gridCol w:w="5184"/>
      </w:tblGrid>
      <w:tr>
        <w:tc>
          <w:tcPr>
            <w:tcW w:type="dxa" w:w="2520"/>
            <w:shd w:fill="1F4E79"/>
            <w:vAlign w:val="top"/>
          </w:tcPr>
          <w:p>
            <w:pPr>
              <w:jc w:val="left"/>
            </w:pPr>
            <w:r/>
            <w:r>
              <w:rPr>
                <w:rFonts w:ascii="Arial" w:hAnsi="Arial"/>
                <w:b/>
                <w:color w:val="FFFFFF"/>
                <w:sz w:val="18"/>
              </w:rPr>
              <w:t>Decision area</w:t>
            </w:r>
          </w:p>
        </w:tc>
        <w:tc>
          <w:tcPr>
            <w:tcW w:type="dxa" w:w="7272"/>
            <w:shd w:fill="1F4E79"/>
            <w:vAlign w:val="top"/>
          </w:tcPr>
          <w:p>
            <w:pPr>
              <w:jc w:val="left"/>
            </w:pPr>
            <w:r/>
            <w:r>
              <w:rPr>
                <w:rFonts w:ascii="Arial" w:hAnsi="Arial"/>
                <w:b/>
                <w:color w:val="FFFFFF"/>
                <w:sz w:val="18"/>
              </w:rPr>
              <w:t>Recipe action</w:t>
            </w:r>
          </w:p>
        </w:tc>
      </w:tr>
      <w:tr>
        <w:tc>
          <w:tcPr>
            <w:tcW w:type="dxa" w:w="2520"/>
            <w:vAlign w:val="top"/>
          </w:tcPr>
          <w:p>
            <w:pPr>
              <w:jc w:val="left"/>
            </w:pPr>
            <w:r/>
            <w:r>
              <w:rPr>
                <w:rFonts w:ascii="Arial" w:hAnsi="Arial"/>
                <w:b w:val="0"/>
                <w:sz w:val="18"/>
              </w:rPr>
              <w:t>Primary objective</w:t>
            </w:r>
          </w:p>
        </w:tc>
        <w:tc>
          <w:tcPr>
            <w:tcW w:type="dxa" w:w="7272"/>
            <w:vAlign w:val="top"/>
          </w:tcPr>
          <w:p>
            <w:pPr>
              <w:jc w:val="left"/>
            </w:pPr>
            <w:r/>
            <w:r>
              <w:rPr>
                <w:rFonts w:ascii="Arial" w:hAnsi="Arial"/>
                <w:b w:val="0"/>
                <w:sz w:val="18"/>
              </w:rPr>
              <w:t>Credible person, clean speech, controlled background, fast safe setup.</w:t>
            </w:r>
          </w:p>
        </w:tc>
      </w:tr>
      <w:tr>
        <w:tc>
          <w:tcPr>
            <w:tcW w:type="dxa" w:w="2520"/>
            <w:vAlign w:val="top"/>
          </w:tcPr>
          <w:p>
            <w:pPr>
              <w:jc w:val="left"/>
            </w:pPr>
            <w:r/>
            <w:r>
              <w:rPr>
                <w:rFonts w:ascii="Arial" w:hAnsi="Arial"/>
                <w:b w:val="0"/>
                <w:sz w:val="18"/>
              </w:rPr>
              <w:t>Camera setup</w:t>
            </w:r>
          </w:p>
        </w:tc>
        <w:tc>
          <w:tcPr>
            <w:tcW w:type="dxa" w:w="7272"/>
            <w:vAlign w:val="top"/>
          </w:tcPr>
          <w:p>
            <w:pPr>
              <w:jc w:val="left"/>
            </w:pPr>
            <w:r/>
            <w:r>
              <w:rPr>
                <w:rFonts w:ascii="Arial" w:hAnsi="Arial"/>
                <w:b w:val="0"/>
                <w:sz w:val="18"/>
              </w:rPr>
              <w:t>Use Indoor/Outdoor card as location dictates. Record clean S-Log3; monitoring LUT for normal viewing.</w:t>
            </w:r>
          </w:p>
        </w:tc>
      </w:tr>
      <w:tr>
        <w:tc>
          <w:tcPr>
            <w:tcW w:type="dxa" w:w="2520"/>
            <w:vAlign w:val="top"/>
          </w:tcPr>
          <w:p>
            <w:pPr>
              <w:jc w:val="left"/>
            </w:pPr>
            <w:r/>
            <w:r>
              <w:rPr>
                <w:rFonts w:ascii="Arial" w:hAnsi="Arial"/>
                <w:b w:val="0"/>
                <w:sz w:val="18"/>
              </w:rPr>
              <w:t>Lighting</w:t>
            </w:r>
          </w:p>
        </w:tc>
        <w:tc>
          <w:tcPr>
            <w:tcW w:type="dxa" w:w="7272"/>
            <w:vAlign w:val="top"/>
          </w:tcPr>
          <w:p>
            <w:pPr>
              <w:jc w:val="left"/>
            </w:pPr>
            <w:r/>
            <w:r>
              <w:rPr>
                <w:rFonts w:ascii="Arial" w:hAnsi="Arial"/>
                <w:b w:val="0"/>
                <w:sz w:val="18"/>
              </w:rPr>
              <w:t>Clean face first. Background second. Style third.</w:t>
            </w:r>
          </w:p>
        </w:tc>
      </w:tr>
      <w:tr>
        <w:tc>
          <w:tcPr>
            <w:tcW w:type="dxa" w:w="2520"/>
            <w:vAlign w:val="top"/>
          </w:tcPr>
          <w:p>
            <w:pPr>
              <w:jc w:val="left"/>
            </w:pPr>
            <w:r/>
            <w:r>
              <w:rPr>
                <w:rFonts w:ascii="Arial" w:hAnsi="Arial"/>
                <w:b w:val="0"/>
                <w:sz w:val="18"/>
              </w:rPr>
              <w:t>Background</w:t>
            </w:r>
          </w:p>
        </w:tc>
        <w:tc>
          <w:tcPr>
            <w:tcW w:type="dxa" w:w="7272"/>
            <w:vAlign w:val="top"/>
          </w:tcPr>
          <w:p>
            <w:pPr>
              <w:jc w:val="left"/>
            </w:pPr>
            <w:r/>
            <w:r>
              <w:rPr>
                <w:rFonts w:ascii="Arial" w:hAnsi="Arial"/>
                <w:b w:val="0"/>
                <w:sz w:val="18"/>
              </w:rPr>
              <w:t>Remove clutter, tame bright color, control practicals, separate subject from wall.</w:t>
            </w:r>
          </w:p>
        </w:tc>
      </w:tr>
      <w:tr>
        <w:tc>
          <w:tcPr>
            <w:tcW w:type="dxa" w:w="2520"/>
            <w:vAlign w:val="top"/>
          </w:tcPr>
          <w:p>
            <w:pPr>
              <w:jc w:val="left"/>
            </w:pPr>
            <w:r/>
            <w:r>
              <w:rPr>
                <w:rFonts w:ascii="Arial" w:hAnsi="Arial"/>
                <w:b w:val="0"/>
                <w:sz w:val="18"/>
              </w:rPr>
              <w:t>Focus</w:t>
            </w:r>
          </w:p>
        </w:tc>
        <w:tc>
          <w:tcPr>
            <w:tcW w:type="dxa" w:w="7272"/>
            <w:vAlign w:val="top"/>
          </w:tcPr>
          <w:p>
            <w:pPr>
              <w:jc w:val="left"/>
            </w:pPr>
            <w:r/>
            <w:r>
              <w:rPr>
                <w:rFonts w:ascii="Arial" w:hAnsi="Arial"/>
                <w:b w:val="0"/>
                <w:sz w:val="18"/>
              </w:rPr>
              <w:t>Stable face/eye focus; avoid hunting during emotional answers.</w:t>
            </w:r>
          </w:p>
        </w:tc>
      </w:tr>
      <w:tr>
        <w:tc>
          <w:tcPr>
            <w:tcW w:type="dxa" w:w="2520"/>
            <w:vAlign w:val="top"/>
          </w:tcPr>
          <w:p>
            <w:pPr>
              <w:jc w:val="left"/>
            </w:pPr>
            <w:r/>
            <w:r>
              <w:rPr>
                <w:rFonts w:ascii="Arial" w:hAnsi="Arial"/>
                <w:b w:val="0"/>
                <w:sz w:val="18"/>
              </w:rPr>
              <w:t>WB</w:t>
            </w:r>
          </w:p>
        </w:tc>
        <w:tc>
          <w:tcPr>
            <w:tcW w:type="dxa" w:w="7272"/>
            <w:vAlign w:val="top"/>
          </w:tcPr>
          <w:p>
            <w:pPr>
              <w:jc w:val="left"/>
            </w:pPr>
            <w:r/>
            <w:r>
              <w:rPr>
                <w:rFonts w:ascii="Arial" w:hAnsi="Arial"/>
                <w:b w:val="0"/>
                <w:sz w:val="18"/>
              </w:rPr>
              <w:t>Lock under actual interview key/face light.</w:t>
            </w:r>
          </w:p>
        </w:tc>
      </w:tr>
      <w:tr>
        <w:tc>
          <w:tcPr>
            <w:tcW w:type="dxa" w:w="2520"/>
            <w:vAlign w:val="top"/>
          </w:tcPr>
          <w:p>
            <w:pPr>
              <w:jc w:val="left"/>
            </w:pPr>
            <w:r/>
            <w:r>
              <w:rPr>
                <w:rFonts w:ascii="Arial" w:hAnsi="Arial"/>
                <w:b w:val="0"/>
                <w:sz w:val="18"/>
              </w:rPr>
              <w:t>Audio</w:t>
            </w:r>
          </w:p>
        </w:tc>
        <w:tc>
          <w:tcPr>
            <w:tcW w:type="dxa" w:w="7272"/>
            <w:vAlign w:val="top"/>
          </w:tcPr>
          <w:p>
            <w:pPr>
              <w:jc w:val="left"/>
            </w:pPr>
            <w:r/>
            <w:r>
              <w:rPr>
                <w:rFonts w:ascii="Arial" w:hAnsi="Arial"/>
                <w:b w:val="0"/>
                <w:sz w:val="18"/>
              </w:rPr>
              <w:t>Treat as mission-critical; external guide is authority.</w:t>
            </w:r>
          </w:p>
        </w:tc>
      </w:tr>
      <w:tr>
        <w:tc>
          <w:tcPr>
            <w:tcW w:type="dxa" w:w="2520"/>
            <w:vAlign w:val="top"/>
          </w:tcPr>
          <w:p>
            <w:pPr>
              <w:jc w:val="left"/>
            </w:pPr>
            <w:r/>
            <w:r>
              <w:rPr>
                <w:rFonts w:ascii="Arial" w:hAnsi="Arial"/>
                <w:b w:val="0"/>
                <w:sz w:val="18"/>
              </w:rPr>
              <w:t>Logging</w:t>
            </w:r>
          </w:p>
        </w:tc>
        <w:tc>
          <w:tcPr>
            <w:tcW w:type="dxa" w:w="7272"/>
            <w:vAlign w:val="top"/>
          </w:tcPr>
          <w:p>
            <w:pPr>
              <w:jc w:val="left"/>
            </w:pPr>
            <w:r/>
            <w:r>
              <w:rPr>
                <w:rFonts w:ascii="Arial" w:hAnsi="Arial"/>
                <w:b w:val="0"/>
                <w:sz w:val="18"/>
              </w:rPr>
              <w:t>Use project/reel/clip log so interview selects survive post.</w:t>
            </w:r>
          </w:p>
        </w:tc>
      </w:tr>
    </w:tbl>
    <w:p/>
    <w:tbl>
      <w:tblPr>
        <w:tblW w:type="auto" w:w="0"/>
        <w:jc w:val="center"/>
        <w:tblLook w:firstColumn="1" w:firstRow="1" w:lastColumn="0" w:lastRow="0" w:noHBand="0" w:noVBand="1" w:val="04A0"/>
      </w:tblPr>
      <w:tblGrid>
        <w:gridCol w:w="10368"/>
      </w:tblGrid>
      <w:tr>
        <w:tc>
          <w:tcPr>
            <w:tcW w:type="dxa" w:w="10368"/>
            <w:shd w:fill="F2F2F2"/>
          </w:tcPr>
          <w:p>
            <w:r>
              <w:rPr>
                <w:rFonts w:ascii="Arial" w:hAnsi="Arial"/>
                <w:b/>
                <w:sz w:val="18"/>
              </w:rPr>
              <w:t xml:space="preserve">Deep reference: </w:t>
            </w:r>
            <w:r>
              <w:rPr>
                <w:rFonts w:ascii="Arial" w:hAnsi="Arial"/>
                <w:sz w:val="18"/>
              </w:rPr>
              <w:t>Handbook pp. 208-223, 241-258, 273-289, and 362-364. Audio: external guide.</w:t>
            </w:r>
          </w:p>
        </w:tc>
      </w:tr>
    </w:tbl>
    <w:p/>
    <w:p>
      <w:r>
        <w:br w:type="page"/>
      </w:r>
    </w:p>
    <w:p>
      <w:pPr>
        <w:pStyle w:val="Heading1"/>
      </w:pPr>
      <w:r>
        <w:t>7. Recipe: Documentary Run-and-Gun</w:t>
      </w:r>
    </w:p>
    <w:tbl>
      <w:tblPr>
        <w:tblStyle w:val="TableGrid"/>
        <w:tblW w:type="auto" w:w="0"/>
        <w:jc w:val="center"/>
        <w:tblLook w:firstColumn="1" w:firstRow="1" w:lastColumn="0" w:lastRow="0" w:noHBand="0" w:noVBand="1" w:val="04A0"/>
      </w:tblPr>
      <w:tblGrid>
        <w:gridCol w:w="5184"/>
        <w:gridCol w:w="5184"/>
      </w:tblGrid>
      <w:tr>
        <w:tc>
          <w:tcPr>
            <w:tcW w:type="dxa" w:w="2520"/>
            <w:shd w:fill="1F4E79"/>
            <w:vAlign w:val="top"/>
          </w:tcPr>
          <w:p>
            <w:pPr>
              <w:jc w:val="left"/>
            </w:pPr>
            <w:r/>
            <w:r>
              <w:rPr>
                <w:rFonts w:ascii="Arial" w:hAnsi="Arial"/>
                <w:b/>
                <w:color w:val="FFFFFF"/>
                <w:sz w:val="18"/>
              </w:rPr>
              <w:t>Decision area</w:t>
            </w:r>
          </w:p>
        </w:tc>
        <w:tc>
          <w:tcPr>
            <w:tcW w:type="dxa" w:w="7272"/>
            <w:shd w:fill="1F4E79"/>
            <w:vAlign w:val="top"/>
          </w:tcPr>
          <w:p>
            <w:pPr>
              <w:jc w:val="left"/>
            </w:pPr>
            <w:r/>
            <w:r>
              <w:rPr>
                <w:rFonts w:ascii="Arial" w:hAnsi="Arial"/>
                <w:b/>
                <w:color w:val="FFFFFF"/>
                <w:sz w:val="18"/>
              </w:rPr>
              <w:t>Recipe action</w:t>
            </w:r>
          </w:p>
        </w:tc>
      </w:tr>
      <w:tr>
        <w:tc>
          <w:tcPr>
            <w:tcW w:type="dxa" w:w="2520"/>
            <w:vAlign w:val="top"/>
          </w:tcPr>
          <w:p>
            <w:pPr>
              <w:jc w:val="left"/>
            </w:pPr>
            <w:r/>
            <w:r>
              <w:rPr>
                <w:rFonts w:ascii="Arial" w:hAnsi="Arial"/>
                <w:b w:val="0"/>
                <w:sz w:val="18"/>
              </w:rPr>
              <w:t>Primary objective</w:t>
            </w:r>
          </w:p>
        </w:tc>
        <w:tc>
          <w:tcPr>
            <w:tcW w:type="dxa" w:w="7272"/>
            <w:vAlign w:val="top"/>
          </w:tcPr>
          <w:p>
            <w:pPr>
              <w:jc w:val="left"/>
            </w:pPr>
            <w:r/>
            <w:r>
              <w:rPr>
                <w:rFonts w:ascii="Arial" w:hAnsi="Arial"/>
                <w:b w:val="0"/>
                <w:sz w:val="18"/>
              </w:rPr>
              <w:t>Reliability and truthfulness under time pressure.</w:t>
            </w:r>
          </w:p>
        </w:tc>
      </w:tr>
      <w:tr>
        <w:tc>
          <w:tcPr>
            <w:tcW w:type="dxa" w:w="2520"/>
            <w:vAlign w:val="top"/>
          </w:tcPr>
          <w:p>
            <w:pPr>
              <w:jc w:val="left"/>
            </w:pPr>
            <w:r/>
            <w:r>
              <w:rPr>
                <w:rFonts w:ascii="Arial" w:hAnsi="Arial"/>
                <w:b w:val="0"/>
                <w:sz w:val="18"/>
              </w:rPr>
              <w:t>Exposure approach</w:t>
            </w:r>
          </w:p>
        </w:tc>
        <w:tc>
          <w:tcPr>
            <w:tcW w:type="dxa" w:w="7272"/>
            <w:vAlign w:val="top"/>
          </w:tcPr>
          <w:p>
            <w:pPr>
              <w:jc w:val="left"/>
            </w:pPr>
            <w:r/>
            <w:r>
              <w:rPr>
                <w:rFonts w:ascii="Arial" w:hAnsi="Arial"/>
                <w:b w:val="0"/>
                <w:sz w:val="18"/>
              </w:rPr>
              <w:t>Protect face and highlights; use waveform/zebras whenever possible.</w:t>
            </w:r>
          </w:p>
        </w:tc>
      </w:tr>
      <w:tr>
        <w:tc>
          <w:tcPr>
            <w:tcW w:type="dxa" w:w="2520"/>
            <w:vAlign w:val="top"/>
          </w:tcPr>
          <w:p>
            <w:pPr>
              <w:jc w:val="left"/>
            </w:pPr>
            <w:r/>
            <w:r>
              <w:rPr>
                <w:rFonts w:ascii="Arial" w:hAnsi="Arial"/>
                <w:b w:val="0"/>
                <w:sz w:val="18"/>
              </w:rPr>
              <w:t>Auto ND</w:t>
            </w:r>
          </w:p>
        </w:tc>
        <w:tc>
          <w:tcPr>
            <w:tcW w:type="dxa" w:w="7272"/>
            <w:vAlign w:val="top"/>
          </w:tcPr>
          <w:p>
            <w:pPr>
              <w:jc w:val="left"/>
            </w:pPr>
            <w:r/>
            <w:r>
              <w:rPr>
                <w:rFonts w:ascii="Arial" w:hAnsi="Arial"/>
                <w:b w:val="0"/>
                <w:sz w:val="18"/>
              </w:rPr>
              <w:t>Use only when speed requires it; understand when control has been surrendered.</w:t>
            </w:r>
          </w:p>
        </w:tc>
      </w:tr>
      <w:tr>
        <w:tc>
          <w:tcPr>
            <w:tcW w:type="dxa" w:w="2520"/>
            <w:vAlign w:val="top"/>
          </w:tcPr>
          <w:p>
            <w:pPr>
              <w:jc w:val="left"/>
            </w:pPr>
            <w:r/>
            <w:r>
              <w:rPr>
                <w:rFonts w:ascii="Arial" w:hAnsi="Arial"/>
                <w:b w:val="0"/>
                <w:sz w:val="18"/>
              </w:rPr>
              <w:t>WB</w:t>
            </w:r>
          </w:p>
        </w:tc>
        <w:tc>
          <w:tcPr>
            <w:tcW w:type="dxa" w:w="7272"/>
            <w:vAlign w:val="top"/>
          </w:tcPr>
          <w:p>
            <w:pPr>
              <w:jc w:val="left"/>
            </w:pPr>
            <w:r/>
            <w:r>
              <w:rPr>
                <w:rFonts w:ascii="Arial" w:hAnsi="Arial"/>
                <w:b w:val="0"/>
                <w:sz w:val="18"/>
              </w:rPr>
              <w:t>Use fixed daylight/preset or practical compromise when custom WB is too slow, but avoid random drift when possible.</w:t>
            </w:r>
          </w:p>
        </w:tc>
      </w:tr>
      <w:tr>
        <w:tc>
          <w:tcPr>
            <w:tcW w:type="dxa" w:w="2520"/>
            <w:vAlign w:val="top"/>
          </w:tcPr>
          <w:p>
            <w:pPr>
              <w:jc w:val="left"/>
            </w:pPr>
            <w:r/>
            <w:r>
              <w:rPr>
                <w:rFonts w:ascii="Arial" w:hAnsi="Arial"/>
                <w:b w:val="0"/>
                <w:sz w:val="18"/>
              </w:rPr>
              <w:t>Focus</w:t>
            </w:r>
          </w:p>
        </w:tc>
        <w:tc>
          <w:tcPr>
            <w:tcW w:type="dxa" w:w="7272"/>
            <w:vAlign w:val="top"/>
          </w:tcPr>
          <w:p>
            <w:pPr>
              <w:jc w:val="left"/>
            </w:pPr>
            <w:r/>
            <w:r>
              <w:rPr>
                <w:rFonts w:ascii="Arial" w:hAnsi="Arial"/>
                <w:b w:val="0"/>
                <w:sz w:val="18"/>
              </w:rPr>
              <w:t>Use Face/Eye AF, Push AF, or manual deliberately. Do not let the camera hunt through a moment.</w:t>
            </w:r>
          </w:p>
        </w:tc>
      </w:tr>
      <w:tr>
        <w:tc>
          <w:tcPr>
            <w:tcW w:type="dxa" w:w="2520"/>
            <w:vAlign w:val="top"/>
          </w:tcPr>
          <w:p>
            <w:pPr>
              <w:jc w:val="left"/>
            </w:pPr>
            <w:r/>
            <w:r>
              <w:rPr>
                <w:rFonts w:ascii="Arial" w:hAnsi="Arial"/>
                <w:b w:val="0"/>
                <w:sz w:val="18"/>
              </w:rPr>
              <w:t>Look</w:t>
            </w:r>
          </w:p>
        </w:tc>
        <w:tc>
          <w:tcPr>
            <w:tcW w:type="dxa" w:w="7272"/>
            <w:vAlign w:val="top"/>
          </w:tcPr>
          <w:p>
            <w:pPr>
              <w:jc w:val="left"/>
            </w:pPr>
            <w:r/>
            <w:r>
              <w:rPr>
                <w:rFonts w:ascii="Arial" w:hAnsi="Arial"/>
                <w:b w:val="0"/>
                <w:sz w:val="18"/>
              </w:rPr>
              <w:t>Do not force stylization. Credible image beats fake muted look.</w:t>
            </w:r>
          </w:p>
        </w:tc>
      </w:tr>
      <w:tr>
        <w:tc>
          <w:tcPr>
            <w:tcW w:type="dxa" w:w="2520"/>
            <w:vAlign w:val="top"/>
          </w:tcPr>
          <w:p>
            <w:pPr>
              <w:jc w:val="left"/>
            </w:pPr>
            <w:r/>
            <w:r>
              <w:rPr>
                <w:rFonts w:ascii="Arial" w:hAnsi="Arial"/>
                <w:b w:val="0"/>
                <w:sz w:val="18"/>
              </w:rPr>
              <w:t>Audio</w:t>
            </w:r>
          </w:p>
        </w:tc>
        <w:tc>
          <w:tcPr>
            <w:tcW w:type="dxa" w:w="7272"/>
            <w:vAlign w:val="top"/>
          </w:tcPr>
          <w:p>
            <w:pPr>
              <w:jc w:val="left"/>
            </w:pPr>
            <w:r/>
            <w:r>
              <w:rPr>
                <w:rFonts w:ascii="Arial" w:hAnsi="Arial"/>
                <w:b w:val="0"/>
                <w:sz w:val="18"/>
              </w:rPr>
              <w:t>Stop if audio is unverified; documentary moments cannot be recreated.</w:t>
            </w:r>
          </w:p>
        </w:tc>
      </w:tr>
      <w:tr>
        <w:tc>
          <w:tcPr>
            <w:tcW w:type="dxa" w:w="2520"/>
            <w:vAlign w:val="top"/>
          </w:tcPr>
          <w:p>
            <w:pPr>
              <w:jc w:val="left"/>
            </w:pPr>
            <w:r/>
            <w:r>
              <w:rPr>
                <w:rFonts w:ascii="Arial" w:hAnsi="Arial"/>
                <w:b w:val="0"/>
                <w:sz w:val="18"/>
              </w:rPr>
              <w:t>Media</w:t>
            </w:r>
          </w:p>
        </w:tc>
        <w:tc>
          <w:tcPr>
            <w:tcW w:type="dxa" w:w="7272"/>
            <w:vAlign w:val="top"/>
          </w:tcPr>
          <w:p>
            <w:pPr>
              <w:jc w:val="left"/>
            </w:pPr>
            <w:r/>
            <w:r>
              <w:rPr>
                <w:rFonts w:ascii="Arial" w:hAnsi="Arial"/>
                <w:b w:val="0"/>
                <w:sz w:val="18"/>
              </w:rPr>
              <w:t>Keep reel/card identity simple and logged under pressure.</w:t>
            </w:r>
          </w:p>
        </w:tc>
      </w:tr>
    </w:tbl>
    <w:p/>
    <w:tbl>
      <w:tblPr>
        <w:tblW w:type="auto" w:w="0"/>
        <w:jc w:val="center"/>
        <w:tblLook w:firstColumn="1" w:firstRow="1" w:lastColumn="0" w:lastRow="0" w:noHBand="0" w:noVBand="1" w:val="04A0"/>
      </w:tblPr>
      <w:tblGrid>
        <w:gridCol w:w="10368"/>
      </w:tblGrid>
      <w:tr>
        <w:tc>
          <w:tcPr>
            <w:tcW w:type="dxa" w:w="10368"/>
            <w:shd w:fill="F2F2F2"/>
          </w:tcPr>
          <w:p>
            <w:r>
              <w:rPr>
                <w:rFonts w:ascii="Arial" w:hAnsi="Arial"/>
                <w:b/>
                <w:sz w:val="18"/>
              </w:rPr>
              <w:t xml:space="preserve">Deep reference: </w:t>
            </w:r>
            <w:r>
              <w:rPr>
                <w:rFonts w:ascii="Arial" w:hAnsi="Arial"/>
                <w:sz w:val="18"/>
              </w:rPr>
              <w:t>Handbook pp. 214-220, 241-258, and 284-296. Audio: external guide.</w:t>
            </w:r>
          </w:p>
        </w:tc>
      </w:tr>
    </w:tbl>
    <w:p/>
    <w:p>
      <w:r>
        <w:br w:type="page"/>
      </w:r>
    </w:p>
    <w:p>
      <w:pPr>
        <w:pStyle w:val="Heading1"/>
      </w:pPr>
      <w:r>
        <w:t>8. Recipe: Offload / Import / Proxy / Archive</w:t>
      </w:r>
    </w:p>
    <w:tbl>
      <w:tblPr>
        <w:tblStyle w:val="TableGrid"/>
        <w:tblW w:type="auto" w:w="0"/>
        <w:jc w:val="center"/>
        <w:tblLook w:firstColumn="1" w:firstRow="1" w:lastColumn="0" w:lastRow="0" w:noHBand="0" w:noVBand="1" w:val="04A0"/>
      </w:tblPr>
      <w:tblGrid>
        <w:gridCol w:w="5184"/>
        <w:gridCol w:w="5184"/>
      </w:tblGrid>
      <w:tr>
        <w:tc>
          <w:tcPr>
            <w:tcW w:type="dxa" w:w="2160"/>
            <w:shd w:fill="1F4E79"/>
            <w:vAlign w:val="top"/>
          </w:tcPr>
          <w:p>
            <w:pPr>
              <w:jc w:val="left"/>
            </w:pPr>
            <w:r/>
            <w:r>
              <w:rPr>
                <w:rFonts w:ascii="Arial" w:hAnsi="Arial"/>
                <w:b/>
                <w:color w:val="FFFFFF"/>
                <w:sz w:val="18"/>
              </w:rPr>
              <w:t>Stage</w:t>
            </w:r>
          </w:p>
        </w:tc>
        <w:tc>
          <w:tcPr>
            <w:tcW w:type="dxa" w:w="7632"/>
            <w:shd w:fill="1F4E79"/>
            <w:vAlign w:val="top"/>
          </w:tcPr>
          <w:p>
            <w:pPr>
              <w:jc w:val="left"/>
            </w:pPr>
            <w:r/>
            <w:r>
              <w:rPr>
                <w:rFonts w:ascii="Arial" w:hAnsi="Arial"/>
                <w:b/>
                <w:color w:val="FFFFFF"/>
                <w:sz w:val="18"/>
              </w:rPr>
              <w:t>Recipe action</w:t>
            </w:r>
          </w:p>
        </w:tc>
      </w:tr>
      <w:tr>
        <w:tc>
          <w:tcPr>
            <w:tcW w:type="dxa" w:w="2160"/>
            <w:vAlign w:val="top"/>
          </w:tcPr>
          <w:p>
            <w:pPr>
              <w:jc w:val="left"/>
            </w:pPr>
            <w:r/>
            <w:r>
              <w:rPr>
                <w:rFonts w:ascii="Arial" w:hAnsi="Arial"/>
                <w:b w:val="0"/>
                <w:sz w:val="18"/>
              </w:rPr>
              <w:t>Before offload</w:t>
            </w:r>
          </w:p>
        </w:tc>
        <w:tc>
          <w:tcPr>
            <w:tcW w:type="dxa" w:w="7632"/>
            <w:vAlign w:val="top"/>
          </w:tcPr>
          <w:p>
            <w:pPr>
              <w:jc w:val="left"/>
            </w:pPr>
            <w:r/>
            <w:r>
              <w:rPr>
                <w:rFonts w:ascii="Arial" w:hAnsi="Arial"/>
                <w:b w:val="0"/>
                <w:sz w:val="18"/>
              </w:rPr>
              <w:t>Confirm reel/card ID, project folder, enough drive space, and two-backup plan.</w:t>
            </w:r>
          </w:p>
        </w:tc>
      </w:tr>
      <w:tr>
        <w:tc>
          <w:tcPr>
            <w:tcW w:type="dxa" w:w="2160"/>
            <w:vAlign w:val="top"/>
          </w:tcPr>
          <w:p>
            <w:pPr>
              <w:jc w:val="left"/>
            </w:pPr>
            <w:r/>
            <w:r>
              <w:rPr>
                <w:rFonts w:ascii="Arial" w:hAnsi="Arial"/>
                <w:b w:val="0"/>
                <w:sz w:val="18"/>
              </w:rPr>
              <w:t>Copy</w:t>
            </w:r>
          </w:p>
        </w:tc>
        <w:tc>
          <w:tcPr>
            <w:tcW w:type="dxa" w:w="7632"/>
            <w:vAlign w:val="top"/>
          </w:tcPr>
          <w:p>
            <w:pPr>
              <w:jc w:val="left"/>
            </w:pPr>
            <w:r/>
            <w:r>
              <w:rPr>
                <w:rFonts w:ascii="Arial" w:hAnsi="Arial"/>
                <w:b w:val="0"/>
                <w:sz w:val="18"/>
              </w:rPr>
              <w:t>Copy full card folder structure. Do not dump loose MXF files into a flat folder.</w:t>
            </w:r>
          </w:p>
        </w:tc>
      </w:tr>
      <w:tr>
        <w:tc>
          <w:tcPr>
            <w:tcW w:type="dxa" w:w="2160"/>
            <w:vAlign w:val="top"/>
          </w:tcPr>
          <w:p>
            <w:pPr>
              <w:jc w:val="left"/>
            </w:pPr>
            <w:r/>
            <w:r>
              <w:rPr>
                <w:rFonts w:ascii="Arial" w:hAnsi="Arial"/>
                <w:b w:val="0"/>
                <w:sz w:val="18"/>
              </w:rPr>
              <w:t>Verify</w:t>
            </w:r>
          </w:p>
        </w:tc>
        <w:tc>
          <w:tcPr>
            <w:tcW w:type="dxa" w:w="7632"/>
            <w:vAlign w:val="top"/>
          </w:tcPr>
          <w:p>
            <w:pPr>
              <w:jc w:val="left"/>
            </w:pPr>
            <w:r/>
            <w:r>
              <w:rPr>
                <w:rFonts w:ascii="Arial" w:hAnsi="Arial"/>
                <w:b w:val="0"/>
                <w:sz w:val="18"/>
              </w:rPr>
              <w:t>Check copy completion, folder structure, file count/size where possible, and playback of sample clips.</w:t>
            </w:r>
          </w:p>
        </w:tc>
      </w:tr>
      <w:tr>
        <w:tc>
          <w:tcPr>
            <w:tcW w:type="dxa" w:w="2160"/>
            <w:vAlign w:val="top"/>
          </w:tcPr>
          <w:p>
            <w:pPr>
              <w:jc w:val="left"/>
            </w:pPr>
            <w:r/>
            <w:r>
              <w:rPr>
                <w:rFonts w:ascii="Arial" w:hAnsi="Arial"/>
                <w:b w:val="0"/>
                <w:sz w:val="18"/>
              </w:rPr>
              <w:t>Second backup</w:t>
            </w:r>
          </w:p>
        </w:tc>
        <w:tc>
          <w:tcPr>
            <w:tcW w:type="dxa" w:w="7632"/>
            <w:vAlign w:val="top"/>
          </w:tcPr>
          <w:p>
            <w:pPr>
              <w:jc w:val="left"/>
            </w:pPr>
            <w:r/>
            <w:r>
              <w:rPr>
                <w:rFonts w:ascii="Arial" w:hAnsi="Arial"/>
                <w:b w:val="0"/>
                <w:sz w:val="18"/>
              </w:rPr>
              <w:t>Make a second independent backup before formatting media.</w:t>
            </w:r>
          </w:p>
        </w:tc>
      </w:tr>
      <w:tr>
        <w:tc>
          <w:tcPr>
            <w:tcW w:type="dxa" w:w="2160"/>
            <w:vAlign w:val="top"/>
          </w:tcPr>
          <w:p>
            <w:pPr>
              <w:jc w:val="left"/>
            </w:pPr>
            <w:r/>
            <w:r>
              <w:rPr>
                <w:rFonts w:ascii="Arial" w:hAnsi="Arial"/>
                <w:b w:val="0"/>
                <w:sz w:val="18"/>
              </w:rPr>
              <w:t>Log</w:t>
            </w:r>
          </w:p>
        </w:tc>
        <w:tc>
          <w:tcPr>
            <w:tcW w:type="dxa" w:w="7632"/>
            <w:vAlign w:val="top"/>
          </w:tcPr>
          <w:p>
            <w:pPr>
              <w:jc w:val="left"/>
            </w:pPr>
            <w:r/>
            <w:r>
              <w:rPr>
                <w:rFonts w:ascii="Arial" w:hAnsi="Arial"/>
                <w:b w:val="0"/>
                <w:sz w:val="18"/>
              </w:rPr>
              <w:t>Record reel, physical card ID, clip ranges, backup status, and notes.</w:t>
            </w:r>
          </w:p>
        </w:tc>
      </w:tr>
      <w:tr>
        <w:tc>
          <w:tcPr>
            <w:tcW w:type="dxa" w:w="2160"/>
            <w:vAlign w:val="top"/>
          </w:tcPr>
          <w:p>
            <w:pPr>
              <w:jc w:val="left"/>
            </w:pPr>
            <w:r/>
            <w:r>
              <w:rPr>
                <w:rFonts w:ascii="Arial" w:hAnsi="Arial"/>
                <w:b w:val="0"/>
                <w:sz w:val="18"/>
              </w:rPr>
              <w:t>Import</w:t>
            </w:r>
          </w:p>
        </w:tc>
        <w:tc>
          <w:tcPr>
            <w:tcW w:type="dxa" w:w="7632"/>
            <w:vAlign w:val="top"/>
          </w:tcPr>
          <w:p>
            <w:pPr>
              <w:jc w:val="left"/>
            </w:pPr>
            <w:r/>
            <w:r>
              <w:rPr>
                <w:rFonts w:ascii="Arial" w:hAnsi="Arial"/>
                <w:b w:val="0"/>
                <w:sz w:val="18"/>
              </w:rPr>
              <w:t>Import full reel folders into Resolve/Premiere; build organized bins.</w:t>
            </w:r>
          </w:p>
        </w:tc>
      </w:tr>
      <w:tr>
        <w:tc>
          <w:tcPr>
            <w:tcW w:type="dxa" w:w="2160"/>
            <w:vAlign w:val="top"/>
          </w:tcPr>
          <w:p>
            <w:pPr>
              <w:jc w:val="left"/>
            </w:pPr>
            <w:r/>
            <w:r>
              <w:rPr>
                <w:rFonts w:ascii="Arial" w:hAnsi="Arial"/>
                <w:b w:val="0"/>
                <w:sz w:val="18"/>
              </w:rPr>
              <w:t>Audio inspection</w:t>
            </w:r>
          </w:p>
        </w:tc>
        <w:tc>
          <w:tcPr>
            <w:tcW w:type="dxa" w:w="7632"/>
            <w:vAlign w:val="top"/>
          </w:tcPr>
          <w:p>
            <w:pPr>
              <w:jc w:val="left"/>
            </w:pPr>
            <w:r/>
            <w:r>
              <w:rPr>
                <w:rFonts w:ascii="Arial" w:hAnsi="Arial"/>
                <w:b w:val="0"/>
                <w:sz w:val="18"/>
              </w:rPr>
              <w:t>Inspect left/right/split channels before cutting or syncing.</w:t>
            </w:r>
          </w:p>
        </w:tc>
      </w:tr>
      <w:tr>
        <w:tc>
          <w:tcPr>
            <w:tcW w:type="dxa" w:w="2160"/>
            <w:vAlign w:val="top"/>
          </w:tcPr>
          <w:p>
            <w:pPr>
              <w:jc w:val="left"/>
            </w:pPr>
            <w:r/>
            <w:r>
              <w:rPr>
                <w:rFonts w:ascii="Arial" w:hAnsi="Arial"/>
                <w:b w:val="0"/>
                <w:sz w:val="18"/>
              </w:rPr>
              <w:t>Proxy</w:t>
            </w:r>
          </w:p>
        </w:tc>
        <w:tc>
          <w:tcPr>
            <w:tcW w:type="dxa" w:w="7632"/>
            <w:vAlign w:val="top"/>
          </w:tcPr>
          <w:p>
            <w:pPr>
              <w:jc w:val="left"/>
            </w:pPr>
            <w:r/>
            <w:r>
              <w:rPr>
                <w:rFonts w:ascii="Arial" w:hAnsi="Arial"/>
                <w:b w:val="0"/>
                <w:sz w:val="18"/>
              </w:rPr>
              <w:t>Create proxies if needed; track which clips have proxies.</w:t>
            </w:r>
          </w:p>
        </w:tc>
      </w:tr>
      <w:tr>
        <w:tc>
          <w:tcPr>
            <w:tcW w:type="dxa" w:w="2160"/>
            <w:vAlign w:val="top"/>
          </w:tcPr>
          <w:p>
            <w:pPr>
              <w:jc w:val="left"/>
            </w:pPr>
            <w:r/>
            <w:r>
              <w:rPr>
                <w:rFonts w:ascii="Arial" w:hAnsi="Arial"/>
                <w:b w:val="0"/>
                <w:sz w:val="18"/>
              </w:rPr>
              <w:t>Archive</w:t>
            </w:r>
          </w:p>
        </w:tc>
        <w:tc>
          <w:tcPr>
            <w:tcW w:type="dxa" w:w="7632"/>
            <w:vAlign w:val="top"/>
          </w:tcPr>
          <w:p>
            <w:pPr>
              <w:jc w:val="left"/>
            </w:pPr>
            <w:r/>
            <w:r>
              <w:rPr>
                <w:rFonts w:ascii="Arial" w:hAnsi="Arial"/>
                <w:b w:val="0"/>
                <w:sz w:val="18"/>
              </w:rPr>
              <w:t>Preserve originals, audio originals, project files, exports, logs, LUT/settings notes, and final deliverables.</w:t>
            </w:r>
          </w:p>
        </w:tc>
      </w:tr>
    </w:tbl>
    <w:p/>
    <w:tbl>
      <w:tblPr>
        <w:tblW w:type="auto" w:w="0"/>
        <w:jc w:val="center"/>
        <w:tblLook w:firstColumn="1" w:firstRow="1" w:lastColumn="0" w:lastRow="0" w:noHBand="0" w:noVBand="1" w:val="04A0"/>
      </w:tblPr>
      <w:tblGrid>
        <w:gridCol w:w="10368"/>
      </w:tblGrid>
      <w:tr>
        <w:tc>
          <w:tcPr>
            <w:tcW w:type="dxa" w:w="10368"/>
            <w:shd w:fill="F2F2F2"/>
          </w:tcPr>
          <w:p>
            <w:r>
              <w:rPr>
                <w:rFonts w:ascii="Arial" w:hAnsi="Arial"/>
                <w:b/>
                <w:sz w:val="18"/>
              </w:rPr>
              <w:t xml:space="preserve">Deep reference: </w:t>
            </w:r>
            <w:r>
              <w:rPr>
                <w:rFonts w:ascii="Arial" w:hAnsi="Arial"/>
                <w:sz w:val="18"/>
              </w:rPr>
              <w:t>Handbook pp. 259-339 and Appendices I-K. Audio originals: external guide plus post workflow.</w:t>
            </w:r>
          </w:p>
        </w:tc>
      </w:tr>
    </w:tbl>
    <w:p/>
    <w:p>
      <w:r>
        <w:br w:type="page"/>
      </w:r>
    </w:p>
    <w:p>
      <w:pPr>
        <w:pStyle w:val="Heading1"/>
      </w:pPr>
      <w:r>
        <w:t>9. First 60 Seconds on Set</w:t>
      </w:r>
    </w:p>
    <w:p>
      <w:pPr>
        <w:pStyle w:val="ListNumber"/>
      </w:pPr>
      <w:r>
        <w:rPr>
          <w:rFonts w:ascii="Arial" w:hAnsi="Arial"/>
          <w:sz w:val="18"/>
        </w:rPr>
        <w:t>Load or confirm ALL File.</w:t>
      </w:r>
    </w:p>
    <w:p>
      <w:pPr>
        <w:pStyle w:val="ListNumber"/>
      </w:pPr>
      <w:r>
        <w:rPr>
          <w:rFonts w:ascii="Arial" w:hAnsi="Arial"/>
          <w:sz w:val="18"/>
        </w:rPr>
        <w:t>Confirm physical switches.</w:t>
      </w:r>
    </w:p>
    <w:p>
      <w:pPr>
        <w:pStyle w:val="ListNumber"/>
      </w:pPr>
      <w:r>
        <w:rPr>
          <w:rFonts w:ascii="Arial" w:hAnsi="Arial"/>
          <w:sz w:val="18"/>
        </w:rPr>
        <w:t>Confirm RØDE/external audio mode through the external audio guide.</w:t>
      </w:r>
    </w:p>
    <w:p>
      <w:pPr>
        <w:pStyle w:val="ListNumber"/>
      </w:pPr>
      <w:r>
        <w:rPr>
          <w:rFonts w:ascii="Arial" w:hAnsi="Arial"/>
          <w:sz w:val="18"/>
        </w:rPr>
        <w:t>Confirm Cable Techniques routing if using split mode.</w:t>
      </w:r>
    </w:p>
    <w:p>
      <w:pPr>
        <w:pStyle w:val="ListNumber"/>
      </w:pPr>
      <w:r>
        <w:rPr>
          <w:rFonts w:ascii="Arial" w:hAnsi="Arial"/>
          <w:sz w:val="18"/>
        </w:rPr>
        <w:t>Set frame rate and recording format.</w:t>
      </w:r>
    </w:p>
    <w:p>
      <w:pPr>
        <w:pStyle w:val="ListNumber"/>
      </w:pPr>
      <w:r>
        <w:rPr>
          <w:rFonts w:ascii="Arial" w:hAnsi="Arial"/>
          <w:sz w:val="18"/>
        </w:rPr>
        <w:t>Set Cine EI / Base ISO / EI.</w:t>
      </w:r>
    </w:p>
    <w:p>
      <w:pPr>
        <w:pStyle w:val="ListNumber"/>
      </w:pPr>
      <w:r>
        <w:rPr>
          <w:rFonts w:ascii="Arial" w:hAnsi="Arial"/>
          <w:sz w:val="18"/>
        </w:rPr>
        <w:t>Set white balance.</w:t>
      </w:r>
    </w:p>
    <w:p>
      <w:pPr>
        <w:pStyle w:val="ListNumber"/>
      </w:pPr>
      <w:r>
        <w:rPr>
          <w:rFonts w:ascii="Arial" w:hAnsi="Arial"/>
          <w:sz w:val="18"/>
        </w:rPr>
        <w:t>Set shutter.</w:t>
      </w:r>
    </w:p>
    <w:p>
      <w:pPr>
        <w:pStyle w:val="ListNumber"/>
      </w:pPr>
      <w:r>
        <w:rPr>
          <w:rFonts w:ascii="Arial" w:hAnsi="Arial"/>
          <w:sz w:val="18"/>
        </w:rPr>
        <w:t>Set aperture.</w:t>
      </w:r>
    </w:p>
    <w:p>
      <w:pPr>
        <w:pStyle w:val="ListNumber"/>
      </w:pPr>
      <w:r>
        <w:rPr>
          <w:rFonts w:ascii="Arial" w:hAnsi="Arial"/>
          <w:sz w:val="18"/>
        </w:rPr>
        <w:t>Set ND.</w:t>
      </w:r>
    </w:p>
    <w:p>
      <w:pPr>
        <w:pStyle w:val="ListNumber"/>
      </w:pPr>
      <w:r>
        <w:rPr>
          <w:rFonts w:ascii="Arial" w:hAnsi="Arial"/>
          <w:sz w:val="18"/>
        </w:rPr>
        <w:t>Set monitoring LUT and confirm Internal Rec MLUT status.</w:t>
      </w:r>
    </w:p>
    <w:p>
      <w:pPr>
        <w:pStyle w:val="ListNumber"/>
      </w:pPr>
      <w:r>
        <w:rPr>
          <w:rFonts w:ascii="Arial" w:hAnsi="Arial"/>
          <w:sz w:val="18"/>
        </w:rPr>
        <w:t>Check waveform/zebras.</w:t>
      </w:r>
    </w:p>
    <w:p>
      <w:pPr>
        <w:pStyle w:val="ListNumber"/>
      </w:pPr>
      <w:r>
        <w:rPr>
          <w:rFonts w:ascii="Arial" w:hAnsi="Arial"/>
          <w:sz w:val="18"/>
        </w:rPr>
        <w:t>Check focus.</w:t>
      </w:r>
    </w:p>
    <w:p>
      <w:pPr>
        <w:pStyle w:val="ListNumber"/>
      </w:pPr>
      <w:r>
        <w:rPr>
          <w:rFonts w:ascii="Arial" w:hAnsi="Arial"/>
          <w:sz w:val="18"/>
        </w:rPr>
        <w:t>Check media/reel/card identity.</w:t>
      </w:r>
    </w:p>
    <w:p>
      <w:pPr>
        <w:pStyle w:val="ListNumber"/>
      </w:pPr>
      <w:r>
        <w:rPr>
          <w:rFonts w:ascii="Arial" w:hAnsi="Arial"/>
          <w:sz w:val="18"/>
        </w:rPr>
        <w:t>Record and review a 10-second test.</w:t>
      </w:r>
    </w:p>
    <w:p>
      <w:r>
        <w:br w:type="page"/>
      </w:r>
    </w:p>
    <w:p>
      <w:pPr>
        <w:pStyle w:val="Heading1"/>
      </w:pPr>
      <w:r>
        <w:t>10. Troubleshooting Crosswalk</w:t>
      </w:r>
    </w:p>
    <w:tbl>
      <w:tblPr>
        <w:tblStyle w:val="TableGrid"/>
        <w:tblW w:type="auto" w:w="0"/>
        <w:jc w:val="center"/>
        <w:tblLook w:firstColumn="1" w:firstRow="1" w:lastColumn="0" w:lastRow="0" w:noHBand="0" w:noVBand="1" w:val="04A0"/>
      </w:tblPr>
      <w:tblGrid>
        <w:gridCol w:w="5184"/>
        <w:gridCol w:w="5184"/>
      </w:tblGrid>
      <w:tr>
        <w:tc>
          <w:tcPr>
            <w:tcW w:type="dxa" w:w="2952"/>
            <w:shd w:fill="1F4E79"/>
            <w:vAlign w:val="top"/>
          </w:tcPr>
          <w:p>
            <w:pPr>
              <w:jc w:val="left"/>
            </w:pPr>
            <w:r/>
            <w:r>
              <w:rPr>
                <w:rFonts w:ascii="Arial" w:hAnsi="Arial"/>
                <w:b/>
                <w:color w:val="FFFFFF"/>
                <w:sz w:val="18"/>
              </w:rPr>
              <w:t>Problem</w:t>
            </w:r>
          </w:p>
        </w:tc>
        <w:tc>
          <w:tcPr>
            <w:tcW w:type="dxa" w:w="6840"/>
            <w:shd w:fill="1F4E79"/>
            <w:vAlign w:val="top"/>
          </w:tcPr>
          <w:p>
            <w:pPr>
              <w:jc w:val="left"/>
            </w:pPr>
            <w:r/>
            <w:r>
              <w:rPr>
                <w:rFonts w:ascii="Arial" w:hAnsi="Arial"/>
                <w:b/>
                <w:color w:val="FFFFFF"/>
                <w:sz w:val="18"/>
              </w:rPr>
              <w:t>First move</w:t>
            </w:r>
          </w:p>
        </w:tc>
      </w:tr>
      <w:tr>
        <w:tc>
          <w:tcPr>
            <w:tcW w:type="dxa" w:w="2952"/>
            <w:vAlign w:val="top"/>
          </w:tcPr>
          <w:p>
            <w:pPr>
              <w:jc w:val="left"/>
            </w:pPr>
            <w:r/>
            <w:r>
              <w:rPr>
                <w:rFonts w:ascii="Arial" w:hAnsi="Arial"/>
                <w:b w:val="0"/>
                <w:sz w:val="18"/>
              </w:rPr>
              <w:t>Image looks flat</w:t>
            </w:r>
          </w:p>
        </w:tc>
        <w:tc>
          <w:tcPr>
            <w:tcW w:type="dxa" w:w="6840"/>
            <w:vAlign w:val="top"/>
          </w:tcPr>
          <w:p>
            <w:pPr>
              <w:jc w:val="left"/>
            </w:pPr>
            <w:r/>
            <w:r>
              <w:rPr>
                <w:rFonts w:ascii="Arial" w:hAnsi="Arial"/>
                <w:b w:val="0"/>
                <w:sz w:val="18"/>
              </w:rPr>
              <w:t>Check LUT/MLUT monitoring. Confirm whether FX6 is sending a LUT to the display.</w:t>
            </w:r>
          </w:p>
        </w:tc>
      </w:tr>
      <w:tr>
        <w:tc>
          <w:tcPr>
            <w:tcW w:type="dxa" w:w="2952"/>
            <w:vAlign w:val="top"/>
          </w:tcPr>
          <w:p>
            <w:pPr>
              <w:jc w:val="left"/>
            </w:pPr>
            <w:r/>
            <w:r>
              <w:rPr>
                <w:rFonts w:ascii="Arial" w:hAnsi="Arial"/>
                <w:b w:val="0"/>
                <w:sz w:val="18"/>
              </w:rPr>
              <w:t>Image looks baked/overcooked</w:t>
            </w:r>
          </w:p>
        </w:tc>
        <w:tc>
          <w:tcPr>
            <w:tcW w:type="dxa" w:w="6840"/>
            <w:vAlign w:val="top"/>
          </w:tcPr>
          <w:p>
            <w:pPr>
              <w:jc w:val="left"/>
            </w:pPr>
            <w:r/>
            <w:r>
              <w:rPr>
                <w:rFonts w:ascii="Arial" w:hAnsi="Arial"/>
                <w:b w:val="0"/>
                <w:sz w:val="18"/>
              </w:rPr>
              <w:t>Check double-LUT and Internal Rec MLUT status.</w:t>
            </w:r>
          </w:p>
        </w:tc>
      </w:tr>
      <w:tr>
        <w:tc>
          <w:tcPr>
            <w:tcW w:type="dxa" w:w="2952"/>
            <w:vAlign w:val="top"/>
          </w:tcPr>
          <w:p>
            <w:pPr>
              <w:jc w:val="left"/>
            </w:pPr>
            <w:r/>
            <w:r>
              <w:rPr>
                <w:rFonts w:ascii="Arial" w:hAnsi="Arial"/>
                <w:b w:val="0"/>
                <w:sz w:val="18"/>
              </w:rPr>
              <w:t>Image too dark/muddy</w:t>
            </w:r>
          </w:p>
        </w:tc>
        <w:tc>
          <w:tcPr>
            <w:tcW w:type="dxa" w:w="6840"/>
            <w:vAlign w:val="top"/>
          </w:tcPr>
          <w:p>
            <w:pPr>
              <w:jc w:val="left"/>
            </w:pPr>
            <w:r/>
            <w:r>
              <w:rPr>
                <w:rFonts w:ascii="Arial" w:hAnsi="Arial"/>
                <w:b w:val="0"/>
                <w:sz w:val="18"/>
              </w:rPr>
              <w:t>Check waveform, Base ISO, ND, aperture, and lighting. Do not simply change monitor brightness.</w:t>
            </w:r>
          </w:p>
        </w:tc>
      </w:tr>
      <w:tr>
        <w:tc>
          <w:tcPr>
            <w:tcW w:type="dxa" w:w="2952"/>
            <w:vAlign w:val="top"/>
          </w:tcPr>
          <w:p>
            <w:pPr>
              <w:jc w:val="left"/>
            </w:pPr>
            <w:r/>
            <w:r>
              <w:rPr>
                <w:rFonts w:ascii="Arial" w:hAnsi="Arial"/>
                <w:b w:val="0"/>
                <w:sz w:val="18"/>
              </w:rPr>
              <w:t>Skin/eyes disappear</w:t>
            </w:r>
          </w:p>
        </w:tc>
        <w:tc>
          <w:tcPr>
            <w:tcW w:type="dxa" w:w="6840"/>
            <w:vAlign w:val="top"/>
          </w:tcPr>
          <w:p>
            <w:pPr>
              <w:jc w:val="left"/>
            </w:pPr>
            <w:r/>
            <w:r>
              <w:rPr>
                <w:rFonts w:ascii="Arial" w:hAnsi="Arial"/>
                <w:b w:val="0"/>
                <w:sz w:val="18"/>
              </w:rPr>
              <w:t>Expose and light the face cleanly; do not underexpose for mood.</w:t>
            </w:r>
          </w:p>
        </w:tc>
      </w:tr>
      <w:tr>
        <w:tc>
          <w:tcPr>
            <w:tcW w:type="dxa" w:w="2952"/>
            <w:vAlign w:val="top"/>
          </w:tcPr>
          <w:p>
            <w:pPr>
              <w:jc w:val="left"/>
            </w:pPr>
            <w:r/>
            <w:r>
              <w:rPr>
                <w:rFonts w:ascii="Arial" w:hAnsi="Arial"/>
                <w:b w:val="0"/>
                <w:sz w:val="18"/>
              </w:rPr>
              <w:t>Exterior too bright</w:t>
            </w:r>
          </w:p>
        </w:tc>
        <w:tc>
          <w:tcPr>
            <w:tcW w:type="dxa" w:w="6840"/>
            <w:vAlign w:val="top"/>
          </w:tcPr>
          <w:p>
            <w:pPr>
              <w:jc w:val="left"/>
            </w:pPr>
            <w:r/>
            <w:r>
              <w:rPr>
                <w:rFonts w:ascii="Arial" w:hAnsi="Arial"/>
                <w:b w:val="0"/>
                <w:sz w:val="18"/>
              </w:rPr>
              <w:t>Use ND after correct shutter/aperture; do not raise shutter casually.</w:t>
            </w:r>
          </w:p>
        </w:tc>
      </w:tr>
      <w:tr>
        <w:tc>
          <w:tcPr>
            <w:tcW w:type="dxa" w:w="2952"/>
            <w:vAlign w:val="top"/>
          </w:tcPr>
          <w:p>
            <w:pPr>
              <w:jc w:val="left"/>
            </w:pPr>
            <w:r/>
            <w:r>
              <w:rPr>
                <w:rFonts w:ascii="Arial" w:hAnsi="Arial"/>
                <w:b w:val="0"/>
                <w:sz w:val="18"/>
              </w:rPr>
              <w:t>White balance shifts</w:t>
            </w:r>
          </w:p>
        </w:tc>
        <w:tc>
          <w:tcPr>
            <w:tcW w:type="dxa" w:w="6840"/>
            <w:vAlign w:val="top"/>
          </w:tcPr>
          <w:p>
            <w:pPr>
              <w:jc w:val="left"/>
            </w:pPr>
            <w:r/>
            <w:r>
              <w:rPr>
                <w:rFonts w:ascii="Arial" w:hAnsi="Arial"/>
                <w:b w:val="0"/>
                <w:sz w:val="18"/>
              </w:rPr>
              <w:t>Avoid ATW; lock WB under actual key light.</w:t>
            </w:r>
          </w:p>
        </w:tc>
      </w:tr>
      <w:tr>
        <w:tc>
          <w:tcPr>
            <w:tcW w:type="dxa" w:w="2952"/>
            <w:vAlign w:val="top"/>
          </w:tcPr>
          <w:p>
            <w:pPr>
              <w:jc w:val="left"/>
            </w:pPr>
            <w:r/>
            <w:r>
              <w:rPr>
                <w:rFonts w:ascii="Arial" w:hAnsi="Arial"/>
                <w:b w:val="0"/>
                <w:sz w:val="18"/>
              </w:rPr>
              <w:t>Audio issue</w:t>
            </w:r>
          </w:p>
        </w:tc>
        <w:tc>
          <w:tcPr>
            <w:tcW w:type="dxa" w:w="6840"/>
            <w:vAlign w:val="top"/>
          </w:tcPr>
          <w:p>
            <w:pPr>
              <w:jc w:val="left"/>
            </w:pPr>
            <w:r/>
            <w:r>
              <w:rPr>
                <w:rFonts w:ascii="Arial" w:hAnsi="Arial"/>
                <w:b w:val="0"/>
                <w:sz w:val="18"/>
              </w:rPr>
              <w:t>Stop and use the external FX6 Audio Field Setup Guide.</w:t>
            </w:r>
          </w:p>
        </w:tc>
      </w:tr>
      <w:tr>
        <w:tc>
          <w:tcPr>
            <w:tcW w:type="dxa" w:w="2952"/>
            <w:vAlign w:val="top"/>
          </w:tcPr>
          <w:p>
            <w:pPr>
              <w:jc w:val="left"/>
            </w:pPr>
            <w:r/>
            <w:r>
              <w:rPr>
                <w:rFonts w:ascii="Arial" w:hAnsi="Arial"/>
                <w:b w:val="0"/>
                <w:sz w:val="18"/>
              </w:rPr>
              <w:t>Media confusion</w:t>
            </w:r>
          </w:p>
        </w:tc>
        <w:tc>
          <w:tcPr>
            <w:tcW w:type="dxa" w:w="6840"/>
            <w:vAlign w:val="top"/>
          </w:tcPr>
          <w:p>
            <w:pPr>
              <w:jc w:val="left"/>
            </w:pPr>
            <w:r/>
            <w:r>
              <w:rPr>
                <w:rFonts w:ascii="Arial" w:hAnsi="Arial"/>
                <w:b w:val="0"/>
                <w:sz w:val="18"/>
              </w:rPr>
              <w:t>Use reel/card/project ID; preserve full card structure.</w:t>
            </w:r>
          </w:p>
        </w:tc>
      </w:tr>
    </w:tbl>
    <w:p/>
    <w:p>
      <w:r>
        <w:br w:type="page"/>
      </w:r>
    </w:p>
    <w:p>
      <w:pPr>
        <w:pStyle w:val="Heading1"/>
      </w:pPr>
      <w:r>
        <w:t>11. Source Map</w:t>
      </w:r>
    </w:p>
    <w:tbl>
      <w:tblPr>
        <w:tblStyle w:val="TableGrid"/>
        <w:tblW w:type="auto" w:w="0"/>
        <w:jc w:val="center"/>
        <w:tblLook w:firstColumn="1" w:firstRow="1" w:lastColumn="0" w:lastRow="0" w:noHBand="0" w:noVBand="1" w:val="04A0"/>
      </w:tblPr>
      <w:tblGrid>
        <w:gridCol w:w="5184"/>
        <w:gridCol w:w="5184"/>
      </w:tblGrid>
      <w:tr>
        <w:tc>
          <w:tcPr>
            <w:tcW w:type="dxa" w:w="3168"/>
            <w:shd w:fill="1F4E79"/>
            <w:vAlign w:val="top"/>
          </w:tcPr>
          <w:p>
            <w:pPr>
              <w:jc w:val="left"/>
            </w:pPr>
            <w:r/>
            <w:r>
              <w:rPr>
                <w:rFonts w:ascii="Arial" w:hAnsi="Arial"/>
                <w:b/>
                <w:color w:val="FFFFFF"/>
                <w:sz w:val="18"/>
              </w:rPr>
              <w:t>Scenario</w:t>
            </w:r>
          </w:p>
        </w:tc>
        <w:tc>
          <w:tcPr>
            <w:tcW w:type="dxa" w:w="6624"/>
            <w:shd w:fill="1F4E79"/>
            <w:vAlign w:val="top"/>
          </w:tcPr>
          <w:p>
            <w:pPr>
              <w:jc w:val="left"/>
            </w:pPr>
            <w:r/>
            <w:r>
              <w:rPr>
                <w:rFonts w:ascii="Arial" w:hAnsi="Arial"/>
                <w:b/>
                <w:color w:val="FFFFFF"/>
                <w:sz w:val="18"/>
              </w:rPr>
              <w:t>Deep source</w:t>
            </w:r>
          </w:p>
        </w:tc>
      </w:tr>
      <w:tr>
        <w:tc>
          <w:tcPr>
            <w:tcW w:type="dxa" w:w="3168"/>
            <w:vAlign w:val="top"/>
          </w:tcPr>
          <w:p>
            <w:pPr>
              <w:jc w:val="left"/>
            </w:pPr>
            <w:r/>
            <w:r>
              <w:rPr>
                <w:rFonts w:ascii="Arial" w:hAnsi="Arial"/>
                <w:b w:val="0"/>
                <w:sz w:val="18"/>
              </w:rPr>
              <w:t>One-person actor reel, indoor</w:t>
            </w:r>
          </w:p>
        </w:tc>
        <w:tc>
          <w:tcPr>
            <w:tcW w:type="dxa" w:w="6624"/>
            <w:vAlign w:val="top"/>
          </w:tcPr>
          <w:p>
            <w:pPr>
              <w:jc w:val="left"/>
            </w:pPr>
            <w:r/>
            <w:r>
              <w:rPr>
                <w:rFonts w:ascii="Arial" w:hAnsi="Arial"/>
                <w:b w:val="0"/>
                <w:sz w:val="18"/>
              </w:rPr>
              <w:t>Handbook pp. 68-127, 171-198, 241-258, 349-352. Audio: external guide.</w:t>
            </w:r>
          </w:p>
        </w:tc>
      </w:tr>
      <w:tr>
        <w:tc>
          <w:tcPr>
            <w:tcW w:type="dxa" w:w="3168"/>
            <w:vAlign w:val="top"/>
          </w:tcPr>
          <w:p>
            <w:pPr>
              <w:jc w:val="left"/>
            </w:pPr>
            <w:r/>
            <w:r>
              <w:rPr>
                <w:rFonts w:ascii="Arial" w:hAnsi="Arial"/>
                <w:b w:val="0"/>
                <w:sz w:val="18"/>
              </w:rPr>
              <w:t>Two-person dialogue/interview</w:t>
            </w:r>
          </w:p>
        </w:tc>
        <w:tc>
          <w:tcPr>
            <w:tcW w:type="dxa" w:w="6624"/>
            <w:vAlign w:val="top"/>
          </w:tcPr>
          <w:p>
            <w:pPr>
              <w:jc w:val="left"/>
            </w:pPr>
            <w:r/>
            <w:r>
              <w:rPr>
                <w:rFonts w:ascii="Arial" w:hAnsi="Arial"/>
                <w:b w:val="0"/>
                <w:sz w:val="18"/>
              </w:rPr>
              <w:t>Handbook pp. 86-99, 192-208, 208-223, 241-258. Audio: external guide.</w:t>
            </w:r>
          </w:p>
        </w:tc>
      </w:tr>
      <w:tr>
        <w:tc>
          <w:tcPr>
            <w:tcW w:type="dxa" w:w="3168"/>
            <w:vAlign w:val="top"/>
          </w:tcPr>
          <w:p>
            <w:pPr>
              <w:jc w:val="left"/>
            </w:pPr>
            <w:r/>
            <w:r>
              <w:rPr>
                <w:rFonts w:ascii="Arial" w:hAnsi="Arial"/>
                <w:b w:val="0"/>
                <w:sz w:val="18"/>
              </w:rPr>
              <w:t>Exterior muted-cinematic dialogue</w:t>
            </w:r>
          </w:p>
        </w:tc>
        <w:tc>
          <w:tcPr>
            <w:tcW w:type="dxa" w:w="6624"/>
            <w:vAlign w:val="top"/>
          </w:tcPr>
          <w:p>
            <w:pPr>
              <w:jc w:val="left"/>
            </w:pPr>
            <w:r/>
            <w:r>
              <w:rPr>
                <w:rFonts w:ascii="Arial" w:hAnsi="Arial"/>
                <w:b w:val="0"/>
                <w:sz w:val="18"/>
              </w:rPr>
              <w:t>Handbook pp. 82-86, 112-127, 196-206, 352-356. Audio: external guide.</w:t>
            </w:r>
          </w:p>
        </w:tc>
      </w:tr>
      <w:tr>
        <w:tc>
          <w:tcPr>
            <w:tcW w:type="dxa" w:w="3168"/>
            <w:vAlign w:val="top"/>
          </w:tcPr>
          <w:p>
            <w:pPr>
              <w:jc w:val="left"/>
            </w:pPr>
            <w:r/>
            <w:r>
              <w:rPr>
                <w:rFonts w:ascii="Arial" w:hAnsi="Arial"/>
                <w:b w:val="0"/>
                <w:sz w:val="18"/>
              </w:rPr>
              <w:t>Documentary sit-down</w:t>
            </w:r>
          </w:p>
        </w:tc>
        <w:tc>
          <w:tcPr>
            <w:tcW w:type="dxa" w:w="6624"/>
            <w:vAlign w:val="top"/>
          </w:tcPr>
          <w:p>
            <w:pPr>
              <w:jc w:val="left"/>
            </w:pPr>
            <w:r/>
            <w:r>
              <w:rPr>
                <w:rFonts w:ascii="Arial" w:hAnsi="Arial"/>
                <w:b w:val="0"/>
                <w:sz w:val="18"/>
              </w:rPr>
              <w:t>Handbook pp. 208-223, 241-258, 273-289, 362-364. Audio: external guide.</w:t>
            </w:r>
          </w:p>
        </w:tc>
      </w:tr>
      <w:tr>
        <w:tc>
          <w:tcPr>
            <w:tcW w:type="dxa" w:w="3168"/>
            <w:vAlign w:val="top"/>
          </w:tcPr>
          <w:p>
            <w:pPr>
              <w:jc w:val="left"/>
            </w:pPr>
            <w:r/>
            <w:r>
              <w:rPr>
                <w:rFonts w:ascii="Arial" w:hAnsi="Arial"/>
                <w:b w:val="0"/>
                <w:sz w:val="18"/>
              </w:rPr>
              <w:t>Documentary run-and-gun</w:t>
            </w:r>
          </w:p>
        </w:tc>
        <w:tc>
          <w:tcPr>
            <w:tcW w:type="dxa" w:w="6624"/>
            <w:vAlign w:val="top"/>
          </w:tcPr>
          <w:p>
            <w:pPr>
              <w:jc w:val="left"/>
            </w:pPr>
            <w:r/>
            <w:r>
              <w:rPr>
                <w:rFonts w:ascii="Arial" w:hAnsi="Arial"/>
                <w:b w:val="0"/>
                <w:sz w:val="18"/>
              </w:rPr>
              <w:t>Handbook pp. 214-220, 241-258, 284-296. Audio: external guide.</w:t>
            </w:r>
          </w:p>
        </w:tc>
      </w:tr>
      <w:tr>
        <w:tc>
          <w:tcPr>
            <w:tcW w:type="dxa" w:w="3168"/>
            <w:vAlign w:val="top"/>
          </w:tcPr>
          <w:p>
            <w:pPr>
              <w:jc w:val="left"/>
            </w:pPr>
            <w:r/>
            <w:r>
              <w:rPr>
                <w:rFonts w:ascii="Arial" w:hAnsi="Arial"/>
                <w:b w:val="0"/>
                <w:sz w:val="18"/>
              </w:rPr>
              <w:t>Offload/import/proxy/archive</w:t>
            </w:r>
          </w:p>
        </w:tc>
        <w:tc>
          <w:tcPr>
            <w:tcW w:type="dxa" w:w="6624"/>
            <w:vAlign w:val="top"/>
          </w:tcPr>
          <w:p>
            <w:pPr>
              <w:jc w:val="left"/>
            </w:pPr>
            <w:r/>
            <w:r>
              <w:rPr>
                <w:rFonts w:ascii="Arial" w:hAnsi="Arial"/>
                <w:b w:val="0"/>
                <w:sz w:val="18"/>
              </w:rPr>
              <w:t>Handbook pp. 259-339 and Appendices I-K.</w:t>
            </w:r>
          </w:p>
        </w:tc>
      </w:tr>
    </w:tbl>
    <w:p/>
    <w:sectPr w:rsidR="00FC693F" w:rsidRPr="0006063C" w:rsidSect="00034616">
      <w:footerReference w:type="default" r:id="rId9"/>
      <w:pgSz w:w="12240" w:h="15840"/>
      <w:pgMar w:top="792" w:right="936" w:bottom="792" w:left="93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rFonts w:ascii="Arial" w:hAnsi="Arial"/>
        <w:color w:val="646464"/>
        <w:sz w:val="15"/>
      </w:rPr>
      <w:t>FX6 Scenario Recipe Pack V1 | V1 | Canon source untouched | Audio: external FX6 Audio Field Setup Guide</w:t>
    </w:r>
  </w:p>
</w:ft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Arial" w:hAnsi="Arial"/>
      <w:sz w:val="20"/>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Arial" w:hAnsi="Arial"/>
      <w:b/>
      <w:bCs/>
      <w:color w:val="365F91" w:themeColor="accent1" w:themeShade="BF"/>
      <w:sz w:val="30"/>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Arial" w:hAnsi="Arial"/>
      <w:b/>
      <w:bCs/>
      <w:color w:val="4F81BD" w:themeColor="accent1"/>
      <w:sz w:val="24"/>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Arial" w:hAnsi="Arial"/>
      <w:b/>
      <w:bCs/>
      <w:color w:val="4F81BD" w:themeColor="accent1"/>
      <w:sz w:val="2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ascii="Arial" w:hAnsi="Arial"/>
      <w:color w:val="17365D" w:themeColor="text2" w:themeShade="BF"/>
      <w:spacing w:val="5"/>
      <w:kern w:val="28"/>
      <w:sz w:val="44"/>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