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Arial" w:hAnsi="Arial"/>
          <w:b/>
          <w:color w:val="1F3D58"/>
          <w:sz w:val="44"/>
        </w:rPr>
        <w:t>FX6 Post / Media Safety Guide V1</w:t>
      </w:r>
    </w:p>
    <w:p>
      <w:pPr>
        <w:jc w:val="center"/>
      </w:pPr>
      <w:r>
        <w:rPr>
          <w:rFonts w:ascii="Arial" w:hAnsi="Arial"/>
          <w:i/>
          <w:color w:val="505050"/>
          <w:sz w:val="22"/>
        </w:rPr>
        <w:t>Extraction from FX6 Cine EI Muted-Color Shooting System - Working Baseline</w:t>
      </w:r>
    </w:p>
    <w:p/>
    <w:tbl>
      <w:tblPr>
        <w:tblW w:type="auto" w:w="0"/>
        <w:jc w:val="center"/>
        <w:tblLook w:firstColumn="1" w:firstRow="1" w:lastColumn="0" w:lastRow="0" w:noHBand="0" w:noVBand="1" w:val="04A0"/>
      </w:tblPr>
      <w:tblGrid>
        <w:gridCol w:w="10368"/>
      </w:tblGrid>
      <w:tr>
        <w:tc>
          <w:tcPr>
            <w:tcW w:type="dxa" w:w="10368"/>
            <w:shd w:fill="EEF3F7"/>
          </w:tcPr>
          <w:p>
            <w:r>
              <w:rPr>
                <w:rFonts w:ascii="Arial" w:hAnsi="Arial"/>
                <w:b/>
                <w:sz w:val="18"/>
              </w:rPr>
              <w:t xml:space="preserve">Control Note: </w:t>
            </w:r>
            <w:r>
              <w:rPr>
                <w:rFonts w:ascii="Arial" w:hAnsi="Arial"/>
                <w:sz w:val="18"/>
              </w:rPr>
              <w:t>Derived extraction document. Source project: FX6 Final Audio Settings + Cine EI Muted-Color Shooting System. Source document chain: Canonized Master TOC and Handbook V1.0 plus current Working Baseline used as extraction source. Canon source untouched. Operational audio setup is deferred to the external FX6 Audio Field Setup Guide. Pages 381-384 of the working source are ignored for extraction work.</w:t>
            </w:r>
          </w:p>
        </w:tc>
      </w:tr>
    </w:tbl>
    <w:p/>
    <w:tbl>
      <w:tblPr>
        <w:tblStyle w:val="TableGrid"/>
        <w:tblW w:type="auto" w:w="0"/>
        <w:jc w:val="center"/>
        <w:tblLook w:firstColumn="1" w:firstRow="1" w:lastColumn="0" w:lastRow="0" w:noHBand="0" w:noVBand="1" w:val="04A0"/>
      </w:tblPr>
      <w:tblGrid>
        <w:gridCol w:w="5184"/>
        <w:gridCol w:w="5184"/>
      </w:tblGrid>
      <w:tr>
        <w:tc>
          <w:tcPr>
            <w:tcW w:type="dxa" w:w="2520"/>
            <w:shd w:fill="1F4E79"/>
            <w:vAlign w:val="top"/>
          </w:tcPr>
          <w:p>
            <w:pPr>
              <w:jc w:val="left"/>
            </w:pPr>
            <w:r/>
            <w:r>
              <w:rPr>
                <w:rFonts w:ascii="Arial" w:hAnsi="Arial"/>
                <w:b/>
                <w:color w:val="FFFFFF"/>
                <w:sz w:val="18"/>
              </w:rPr>
              <w:t>Control Item</w:t>
            </w:r>
          </w:p>
        </w:tc>
        <w:tc>
          <w:tcPr>
            <w:tcW w:type="dxa" w:w="8352"/>
            <w:shd w:fill="1F4E79"/>
            <w:vAlign w:val="top"/>
          </w:tcPr>
          <w:p>
            <w:pPr>
              <w:jc w:val="left"/>
            </w:pPr>
            <w:r/>
            <w:r>
              <w:rPr>
                <w:rFonts w:ascii="Arial" w:hAnsi="Arial"/>
                <w:b/>
                <w:color w:val="FFFFFF"/>
                <w:sz w:val="18"/>
              </w:rPr>
              <w:t>Status / Use</w:t>
            </w:r>
          </w:p>
        </w:tc>
      </w:tr>
      <w:tr>
        <w:tc>
          <w:tcPr>
            <w:tcW w:type="dxa" w:w="2520"/>
            <w:vAlign w:val="top"/>
          </w:tcPr>
          <w:p>
            <w:pPr>
              <w:jc w:val="left"/>
            </w:pPr>
            <w:r/>
            <w:r>
              <w:rPr>
                <w:rFonts w:ascii="Arial" w:hAnsi="Arial"/>
                <w:b w:val="0"/>
                <w:sz w:val="18"/>
              </w:rPr>
              <w:t>Purpose</w:t>
            </w:r>
          </w:p>
        </w:tc>
        <w:tc>
          <w:tcPr>
            <w:tcW w:type="dxa" w:w="8352"/>
            <w:vAlign w:val="top"/>
          </w:tcPr>
          <w:p>
            <w:pPr>
              <w:jc w:val="left"/>
            </w:pPr>
            <w:r/>
            <w:r>
              <w:rPr>
                <w:rFonts w:ascii="Arial" w:hAnsi="Arial"/>
                <w:b w:val="0"/>
                <w:sz w:val="18"/>
              </w:rPr>
              <w:t>Protect camera originals, audio originals, clip identity, proxy workflow, and final archive.</w:t>
            </w:r>
          </w:p>
        </w:tc>
      </w:tr>
      <w:tr>
        <w:tc>
          <w:tcPr>
            <w:tcW w:type="dxa" w:w="2520"/>
            <w:vAlign w:val="top"/>
          </w:tcPr>
          <w:p>
            <w:pPr>
              <w:jc w:val="left"/>
            </w:pPr>
            <w:r/>
            <w:r>
              <w:rPr>
                <w:rFonts w:ascii="Arial" w:hAnsi="Arial"/>
                <w:b w:val="0"/>
                <w:sz w:val="18"/>
              </w:rPr>
              <w:t>Scope</w:t>
            </w:r>
          </w:p>
        </w:tc>
        <w:tc>
          <w:tcPr>
            <w:tcW w:type="dxa" w:w="8352"/>
            <w:vAlign w:val="top"/>
          </w:tcPr>
          <w:p>
            <w:pPr>
              <w:jc w:val="left"/>
            </w:pPr>
            <w:r/>
            <w:r>
              <w:rPr>
                <w:rFonts w:ascii="Arial" w:hAnsi="Arial"/>
                <w:b w:val="0"/>
                <w:sz w:val="18"/>
              </w:rPr>
              <w:t>Card/reel identity, full-card offload, verification, two-backup rule, Resolve/Premiere import, proxy tracking, and final archive.</w:t>
            </w:r>
          </w:p>
        </w:tc>
      </w:tr>
      <w:tr>
        <w:tc>
          <w:tcPr>
            <w:tcW w:type="dxa" w:w="2520"/>
            <w:vAlign w:val="top"/>
          </w:tcPr>
          <w:p>
            <w:pPr>
              <w:jc w:val="left"/>
            </w:pPr>
            <w:r/>
            <w:r>
              <w:rPr>
                <w:rFonts w:ascii="Arial" w:hAnsi="Arial"/>
                <w:b w:val="0"/>
                <w:sz w:val="18"/>
              </w:rPr>
              <w:t>Primary refs</w:t>
            </w:r>
          </w:p>
        </w:tc>
        <w:tc>
          <w:tcPr>
            <w:tcW w:type="dxa" w:w="8352"/>
            <w:vAlign w:val="top"/>
          </w:tcPr>
          <w:p>
            <w:pPr>
              <w:jc w:val="left"/>
            </w:pPr>
            <w:r/>
            <w:r>
              <w:rPr>
                <w:rFonts w:ascii="Arial" w:hAnsi="Arial"/>
                <w:b w:val="0"/>
                <w:sz w:val="18"/>
              </w:rPr>
              <w:t>File/post workflow Chapters 31-40, pp. 259-339 and Appendices I-K.</w:t>
            </w:r>
          </w:p>
        </w:tc>
      </w:tr>
    </w:tbl>
    <w:p/>
    <w:tbl>
      <w:tblPr>
        <w:tblW w:type="auto" w:w="0"/>
        <w:jc w:val="center"/>
        <w:tblLook w:firstColumn="1" w:firstRow="1" w:lastColumn="0" w:lastRow="0" w:noHBand="0" w:noVBand="1" w:val="04A0"/>
      </w:tblPr>
      <w:tblGrid>
        <w:gridCol w:w="10368"/>
      </w:tblGrid>
      <w:tr>
        <w:tc>
          <w:tcPr>
            <w:tcW w:type="dxa" w:w="10368"/>
            <w:shd w:fill="FFF2CC"/>
          </w:tcPr>
          <w:p>
            <w:r>
              <w:rPr>
                <w:rFonts w:ascii="Arial" w:hAnsi="Arial"/>
                <w:b/>
                <w:sz w:val="19"/>
              </w:rPr>
              <w:t xml:space="preserve">Master Field Rule: </w:t>
            </w:r>
            <w:r>
              <w:rPr>
                <w:rFonts w:ascii="Arial" w:hAnsi="Arial"/>
                <w:sz w:val="19"/>
              </w:rPr>
              <w:t>Expose cleanly. Light selectively. Monitor accurately. Record clean S-Log3. Grade carefully. Do not underexpose S-Log3 to create mood.</w:t>
            </w:r>
          </w:p>
        </w:tc>
      </w:tr>
    </w:tbl>
    <w:p/>
    <w:p>
      <w:r>
        <w:br w:type="page"/>
      </w:r>
    </w:p>
    <w:p>
      <w:pPr>
        <w:pStyle w:val="Heading1"/>
      </w:pPr>
      <w:r>
        <w:t>Manual Table of Contents</w:t>
      </w:r>
    </w:p>
    <w:tbl>
      <w:tblPr>
        <w:tblStyle w:val="TableGrid"/>
        <w:tblW w:type="auto" w:w="0"/>
        <w:jc w:val="center"/>
        <w:tblLook w:firstColumn="1" w:firstRow="1" w:lastColumn="0" w:lastRow="0" w:noHBand="0" w:noVBand="1" w:val="04A0"/>
      </w:tblPr>
      <w:tblGrid>
        <w:gridCol w:w="5184"/>
        <w:gridCol w:w="5184"/>
      </w:tblGrid>
      <w:tr>
        <w:tc>
          <w:tcPr>
            <w:tcW w:type="dxa" w:w="1296"/>
            <w:shd w:fill="1F4E79"/>
            <w:vAlign w:val="top"/>
          </w:tcPr>
          <w:p>
            <w:pPr>
              <w:jc w:val="left"/>
            </w:pPr>
            <w:r/>
            <w:r>
              <w:rPr>
                <w:rFonts w:ascii="Arial" w:hAnsi="Arial"/>
                <w:b/>
                <w:color w:val="FFFFFF"/>
                <w:sz w:val="18"/>
              </w:rPr>
              <w:t>Section</w:t>
            </w:r>
          </w:p>
        </w:tc>
        <w:tc>
          <w:tcPr>
            <w:tcW w:type="dxa" w:w="8496"/>
            <w:shd w:fill="1F4E79"/>
            <w:vAlign w:val="top"/>
          </w:tcPr>
          <w:p>
            <w:pPr>
              <w:jc w:val="left"/>
            </w:pPr>
            <w:r/>
            <w:r>
              <w:rPr>
                <w:rFonts w:ascii="Arial" w:hAnsi="Arial"/>
                <w:b/>
                <w:color w:val="FFFFFF"/>
                <w:sz w:val="18"/>
              </w:rPr>
              <w:t>Title</w:t>
            </w:r>
          </w:p>
        </w:tc>
      </w:tr>
      <w:tr>
        <w:tc>
          <w:tcPr>
            <w:tcW w:type="dxa" w:w="1296"/>
            <w:vAlign w:val="top"/>
          </w:tcPr>
          <w:p>
            <w:pPr>
              <w:jc w:val="left"/>
            </w:pPr>
            <w:r/>
            <w:r>
              <w:rPr>
                <w:rFonts w:ascii="Arial" w:hAnsi="Arial"/>
                <w:b w:val="0"/>
                <w:sz w:val="18"/>
              </w:rPr>
              <w:t>1</w:t>
            </w:r>
          </w:p>
        </w:tc>
        <w:tc>
          <w:tcPr>
            <w:tcW w:type="dxa" w:w="8496"/>
            <w:vAlign w:val="top"/>
          </w:tcPr>
          <w:p>
            <w:pPr>
              <w:jc w:val="left"/>
            </w:pPr>
            <w:r/>
            <w:r>
              <w:rPr>
                <w:rFonts w:ascii="Arial" w:hAnsi="Arial"/>
                <w:b w:val="0"/>
                <w:sz w:val="18"/>
              </w:rPr>
              <w:t>Core media doctrine</w:t>
            </w:r>
          </w:p>
        </w:tc>
      </w:tr>
      <w:tr>
        <w:tc>
          <w:tcPr>
            <w:tcW w:type="dxa" w:w="1296"/>
            <w:vAlign w:val="top"/>
          </w:tcPr>
          <w:p>
            <w:pPr>
              <w:jc w:val="left"/>
            </w:pPr>
            <w:r/>
            <w:r>
              <w:rPr>
                <w:rFonts w:ascii="Arial" w:hAnsi="Arial"/>
                <w:b w:val="0"/>
                <w:sz w:val="18"/>
              </w:rPr>
              <w:t>2</w:t>
            </w:r>
          </w:p>
        </w:tc>
        <w:tc>
          <w:tcPr>
            <w:tcW w:type="dxa" w:w="8496"/>
            <w:vAlign w:val="top"/>
          </w:tcPr>
          <w:p>
            <w:pPr>
              <w:jc w:val="left"/>
            </w:pPr>
            <w:r/>
            <w:r>
              <w:rPr>
                <w:rFonts w:ascii="Arial" w:hAnsi="Arial"/>
                <w:b w:val="0"/>
                <w:sz w:val="18"/>
              </w:rPr>
              <w:t>Naming and identity system</w:t>
            </w:r>
          </w:p>
        </w:tc>
      </w:tr>
      <w:tr>
        <w:tc>
          <w:tcPr>
            <w:tcW w:type="dxa" w:w="1296"/>
            <w:vAlign w:val="top"/>
          </w:tcPr>
          <w:p>
            <w:pPr>
              <w:jc w:val="left"/>
            </w:pPr>
            <w:r/>
            <w:r>
              <w:rPr>
                <w:rFonts w:ascii="Arial" w:hAnsi="Arial"/>
                <w:b w:val="0"/>
                <w:sz w:val="18"/>
              </w:rPr>
              <w:t>3</w:t>
            </w:r>
          </w:p>
        </w:tc>
        <w:tc>
          <w:tcPr>
            <w:tcW w:type="dxa" w:w="8496"/>
            <w:vAlign w:val="top"/>
          </w:tcPr>
          <w:p>
            <w:pPr>
              <w:jc w:val="left"/>
            </w:pPr>
            <w:r/>
            <w:r>
              <w:rPr>
                <w:rFonts w:ascii="Arial" w:hAnsi="Arial"/>
                <w:b w:val="0"/>
                <w:sz w:val="18"/>
              </w:rPr>
              <w:t>Before the shoot</w:t>
            </w:r>
          </w:p>
        </w:tc>
      </w:tr>
      <w:tr>
        <w:tc>
          <w:tcPr>
            <w:tcW w:type="dxa" w:w="1296"/>
            <w:vAlign w:val="top"/>
          </w:tcPr>
          <w:p>
            <w:pPr>
              <w:jc w:val="left"/>
            </w:pPr>
            <w:r/>
            <w:r>
              <w:rPr>
                <w:rFonts w:ascii="Arial" w:hAnsi="Arial"/>
                <w:b w:val="0"/>
                <w:sz w:val="18"/>
              </w:rPr>
              <w:t>4</w:t>
            </w:r>
          </w:p>
        </w:tc>
        <w:tc>
          <w:tcPr>
            <w:tcW w:type="dxa" w:w="8496"/>
            <w:vAlign w:val="top"/>
          </w:tcPr>
          <w:p>
            <w:pPr>
              <w:jc w:val="left"/>
            </w:pPr>
            <w:r/>
            <w:r>
              <w:rPr>
                <w:rFonts w:ascii="Arial" w:hAnsi="Arial"/>
                <w:b w:val="0"/>
                <w:sz w:val="18"/>
              </w:rPr>
              <w:t>On-set logging</w:t>
            </w:r>
          </w:p>
        </w:tc>
      </w:tr>
      <w:tr>
        <w:tc>
          <w:tcPr>
            <w:tcW w:type="dxa" w:w="1296"/>
            <w:vAlign w:val="top"/>
          </w:tcPr>
          <w:p>
            <w:pPr>
              <w:jc w:val="left"/>
            </w:pPr>
            <w:r/>
            <w:r>
              <w:rPr>
                <w:rFonts w:ascii="Arial" w:hAnsi="Arial"/>
                <w:b w:val="0"/>
                <w:sz w:val="18"/>
              </w:rPr>
              <w:t>5</w:t>
            </w:r>
          </w:p>
        </w:tc>
        <w:tc>
          <w:tcPr>
            <w:tcW w:type="dxa" w:w="8496"/>
            <w:vAlign w:val="top"/>
          </w:tcPr>
          <w:p>
            <w:pPr>
              <w:jc w:val="left"/>
            </w:pPr>
            <w:r/>
            <w:r>
              <w:rPr>
                <w:rFonts w:ascii="Arial" w:hAnsi="Arial"/>
                <w:b w:val="0"/>
                <w:sz w:val="18"/>
              </w:rPr>
              <w:t>Offload procedure</w:t>
            </w:r>
          </w:p>
        </w:tc>
      </w:tr>
      <w:tr>
        <w:tc>
          <w:tcPr>
            <w:tcW w:type="dxa" w:w="1296"/>
            <w:vAlign w:val="top"/>
          </w:tcPr>
          <w:p>
            <w:pPr>
              <w:jc w:val="left"/>
            </w:pPr>
            <w:r/>
            <w:r>
              <w:rPr>
                <w:rFonts w:ascii="Arial" w:hAnsi="Arial"/>
                <w:b w:val="0"/>
                <w:sz w:val="18"/>
              </w:rPr>
              <w:t>6</w:t>
            </w:r>
          </w:p>
        </w:tc>
        <w:tc>
          <w:tcPr>
            <w:tcW w:type="dxa" w:w="8496"/>
            <w:vAlign w:val="top"/>
          </w:tcPr>
          <w:p>
            <w:pPr>
              <w:jc w:val="left"/>
            </w:pPr>
            <w:r/>
            <w:r>
              <w:rPr>
                <w:rFonts w:ascii="Arial" w:hAnsi="Arial"/>
                <w:b w:val="0"/>
                <w:sz w:val="18"/>
              </w:rPr>
              <w:t>Verify before format</w:t>
            </w:r>
          </w:p>
        </w:tc>
      </w:tr>
      <w:tr>
        <w:tc>
          <w:tcPr>
            <w:tcW w:type="dxa" w:w="1296"/>
            <w:vAlign w:val="top"/>
          </w:tcPr>
          <w:p>
            <w:pPr>
              <w:jc w:val="left"/>
            </w:pPr>
            <w:r/>
            <w:r>
              <w:rPr>
                <w:rFonts w:ascii="Arial" w:hAnsi="Arial"/>
                <w:b w:val="0"/>
                <w:sz w:val="18"/>
              </w:rPr>
              <w:t>7</w:t>
            </w:r>
          </w:p>
        </w:tc>
        <w:tc>
          <w:tcPr>
            <w:tcW w:type="dxa" w:w="8496"/>
            <w:vAlign w:val="top"/>
          </w:tcPr>
          <w:p>
            <w:pPr>
              <w:jc w:val="left"/>
            </w:pPr>
            <w:r/>
            <w:r>
              <w:rPr>
                <w:rFonts w:ascii="Arial" w:hAnsi="Arial"/>
                <w:b w:val="0"/>
                <w:sz w:val="18"/>
              </w:rPr>
              <w:t>Folder structure</w:t>
            </w:r>
          </w:p>
        </w:tc>
      </w:tr>
      <w:tr>
        <w:tc>
          <w:tcPr>
            <w:tcW w:type="dxa" w:w="1296"/>
            <w:vAlign w:val="top"/>
          </w:tcPr>
          <w:p>
            <w:pPr>
              <w:jc w:val="left"/>
            </w:pPr>
            <w:r/>
            <w:r>
              <w:rPr>
                <w:rFonts w:ascii="Arial" w:hAnsi="Arial"/>
                <w:b w:val="0"/>
                <w:sz w:val="18"/>
              </w:rPr>
              <w:t>8</w:t>
            </w:r>
          </w:p>
        </w:tc>
        <w:tc>
          <w:tcPr>
            <w:tcW w:type="dxa" w:w="8496"/>
            <w:vAlign w:val="top"/>
          </w:tcPr>
          <w:p>
            <w:pPr>
              <w:jc w:val="left"/>
            </w:pPr>
            <w:r/>
            <w:r>
              <w:rPr>
                <w:rFonts w:ascii="Arial" w:hAnsi="Arial"/>
                <w:b w:val="0"/>
                <w:sz w:val="18"/>
              </w:rPr>
              <w:t>Resolve / Premiere import</w:t>
            </w:r>
          </w:p>
        </w:tc>
      </w:tr>
      <w:tr>
        <w:tc>
          <w:tcPr>
            <w:tcW w:type="dxa" w:w="1296"/>
            <w:vAlign w:val="top"/>
          </w:tcPr>
          <w:p>
            <w:pPr>
              <w:jc w:val="left"/>
            </w:pPr>
            <w:r/>
            <w:r>
              <w:rPr>
                <w:rFonts w:ascii="Arial" w:hAnsi="Arial"/>
                <w:b w:val="0"/>
                <w:sz w:val="18"/>
              </w:rPr>
              <w:t>9</w:t>
            </w:r>
          </w:p>
        </w:tc>
        <w:tc>
          <w:tcPr>
            <w:tcW w:type="dxa" w:w="8496"/>
            <w:vAlign w:val="top"/>
          </w:tcPr>
          <w:p>
            <w:pPr>
              <w:jc w:val="left"/>
            </w:pPr>
            <w:r/>
            <w:r>
              <w:rPr>
                <w:rFonts w:ascii="Arial" w:hAnsi="Arial"/>
                <w:b w:val="0"/>
                <w:sz w:val="18"/>
              </w:rPr>
              <w:t>Proxy workflow</w:t>
            </w:r>
          </w:p>
        </w:tc>
      </w:tr>
      <w:tr>
        <w:tc>
          <w:tcPr>
            <w:tcW w:type="dxa" w:w="1296"/>
            <w:vAlign w:val="top"/>
          </w:tcPr>
          <w:p>
            <w:pPr>
              <w:jc w:val="left"/>
            </w:pPr>
            <w:r/>
            <w:r>
              <w:rPr>
                <w:rFonts w:ascii="Arial" w:hAnsi="Arial"/>
                <w:b w:val="0"/>
                <w:sz w:val="18"/>
              </w:rPr>
              <w:t>10</w:t>
            </w:r>
          </w:p>
        </w:tc>
        <w:tc>
          <w:tcPr>
            <w:tcW w:type="dxa" w:w="8496"/>
            <w:vAlign w:val="top"/>
          </w:tcPr>
          <w:p>
            <w:pPr>
              <w:jc w:val="left"/>
            </w:pPr>
            <w:r/>
            <w:r>
              <w:rPr>
                <w:rFonts w:ascii="Arial" w:hAnsi="Arial"/>
                <w:b w:val="0"/>
                <w:sz w:val="18"/>
              </w:rPr>
              <w:t>Archive package</w:t>
            </w:r>
          </w:p>
        </w:tc>
      </w:tr>
      <w:tr>
        <w:tc>
          <w:tcPr>
            <w:tcW w:type="dxa" w:w="1296"/>
            <w:vAlign w:val="top"/>
          </w:tcPr>
          <w:p>
            <w:pPr>
              <w:jc w:val="left"/>
            </w:pPr>
            <w:r/>
            <w:r>
              <w:rPr>
                <w:rFonts w:ascii="Arial" w:hAnsi="Arial"/>
                <w:b w:val="0"/>
                <w:sz w:val="18"/>
              </w:rPr>
              <w:t>11</w:t>
            </w:r>
          </w:p>
        </w:tc>
        <w:tc>
          <w:tcPr>
            <w:tcW w:type="dxa" w:w="8496"/>
            <w:vAlign w:val="top"/>
          </w:tcPr>
          <w:p>
            <w:pPr>
              <w:jc w:val="left"/>
            </w:pPr>
            <w:r/>
            <w:r>
              <w:rPr>
                <w:rFonts w:ascii="Arial" w:hAnsi="Arial"/>
                <w:b w:val="0"/>
                <w:sz w:val="18"/>
              </w:rPr>
              <w:t>Emergency warnings</w:t>
            </w:r>
          </w:p>
        </w:tc>
      </w:tr>
      <w:tr>
        <w:tc>
          <w:tcPr>
            <w:tcW w:type="dxa" w:w="1296"/>
            <w:vAlign w:val="top"/>
          </w:tcPr>
          <w:p>
            <w:pPr>
              <w:jc w:val="left"/>
            </w:pPr>
            <w:r/>
            <w:r>
              <w:rPr>
                <w:rFonts w:ascii="Arial" w:hAnsi="Arial"/>
                <w:b w:val="0"/>
                <w:sz w:val="18"/>
              </w:rPr>
              <w:t>12</w:t>
            </w:r>
          </w:p>
        </w:tc>
        <w:tc>
          <w:tcPr>
            <w:tcW w:type="dxa" w:w="8496"/>
            <w:vAlign w:val="top"/>
          </w:tcPr>
          <w:p>
            <w:pPr>
              <w:jc w:val="left"/>
            </w:pPr>
            <w:r/>
            <w:r>
              <w:rPr>
                <w:rFonts w:ascii="Arial" w:hAnsi="Arial"/>
                <w:b w:val="0"/>
                <w:sz w:val="18"/>
              </w:rPr>
              <w:t>Source map</w:t>
            </w:r>
          </w:p>
        </w:tc>
      </w:tr>
    </w:tbl>
    <w:p/>
    <w:p>
      <w:r>
        <w:br w:type="page"/>
      </w:r>
    </w:p>
    <w:p>
      <w:pPr>
        <w:pStyle w:val="Heading1"/>
      </w:pPr>
      <w:r>
        <w:t>1. Core Media Doctrine</w:t>
      </w:r>
    </w:p>
    <w:tbl>
      <w:tblPr>
        <w:tblW w:type="auto" w:w="0"/>
        <w:jc w:val="center"/>
        <w:tblLook w:firstColumn="1" w:firstRow="1" w:lastColumn="0" w:lastRow="0" w:noHBand="0" w:noVBand="1" w:val="04A0"/>
      </w:tblPr>
      <w:tblGrid>
        <w:gridCol w:w="10368"/>
      </w:tblGrid>
      <w:tr>
        <w:tc>
          <w:tcPr>
            <w:tcW w:type="dxa" w:w="10368"/>
            <w:shd w:fill="FCE4D6"/>
          </w:tcPr>
          <w:p>
            <w:r>
              <w:rPr>
                <w:rFonts w:ascii="Arial" w:hAnsi="Arial"/>
                <w:b/>
                <w:sz w:val="19"/>
              </w:rPr>
              <w:t xml:space="preserve">Rule: </w:t>
            </w:r>
            <w:r>
              <w:rPr>
                <w:rFonts w:ascii="Arial" w:hAnsi="Arial"/>
                <w:sz w:val="19"/>
              </w:rPr>
              <w:t>Do not rely on camera filenames alone. Do not rename camera originals casually. Do not flatten card contents. Verify before formatting.</w:t>
            </w:r>
          </w:p>
        </w:tc>
      </w:tr>
    </w:tbl>
    <w:p/>
    <w:p>
      <w:r>
        <w:rPr>
          <w:rFonts w:ascii="Arial" w:hAnsi="Arial"/>
          <w:b w:val="0"/>
          <w:i w:val="0"/>
          <w:sz w:val="20"/>
        </w:rPr>
        <w:t>Media safety is not paperwork for its own sake. It is the map that keeps footage, sound, scenes, cards, and post-production from becoming confused.</w:t>
      </w:r>
    </w:p>
    <w:tbl>
      <w:tblPr>
        <w:tblStyle w:val="TableGrid"/>
        <w:tblW w:type="auto" w:w="0"/>
        <w:jc w:val="center"/>
        <w:tblLook w:firstColumn="1" w:firstRow="1" w:lastColumn="0" w:lastRow="0" w:noHBand="0" w:noVBand="1" w:val="04A0"/>
      </w:tblPr>
      <w:tblGrid>
        <w:gridCol w:w="5184"/>
        <w:gridCol w:w="5184"/>
      </w:tblGrid>
      <w:tr>
        <w:tc>
          <w:tcPr>
            <w:tcW w:type="dxa" w:w="3312"/>
            <w:shd w:fill="1F4E79"/>
            <w:vAlign w:val="top"/>
          </w:tcPr>
          <w:p>
            <w:pPr>
              <w:jc w:val="left"/>
            </w:pPr>
            <w:r/>
            <w:r>
              <w:rPr>
                <w:rFonts w:ascii="Arial" w:hAnsi="Arial"/>
                <w:b/>
                <w:color w:val="FFFFFF"/>
                <w:sz w:val="18"/>
              </w:rPr>
              <w:t>Risk</w:t>
            </w:r>
          </w:p>
        </w:tc>
        <w:tc>
          <w:tcPr>
            <w:tcW w:type="dxa" w:w="6480"/>
            <w:shd w:fill="1F4E79"/>
            <w:vAlign w:val="top"/>
          </w:tcPr>
          <w:p>
            <w:pPr>
              <w:jc w:val="left"/>
            </w:pPr>
            <w:r/>
            <w:r>
              <w:rPr>
                <w:rFonts w:ascii="Arial" w:hAnsi="Arial"/>
                <w:b/>
                <w:color w:val="FFFFFF"/>
                <w:sz w:val="18"/>
              </w:rPr>
              <w:t>Safety control</w:t>
            </w:r>
          </w:p>
        </w:tc>
      </w:tr>
      <w:tr>
        <w:tc>
          <w:tcPr>
            <w:tcW w:type="dxa" w:w="3312"/>
            <w:vAlign w:val="top"/>
          </w:tcPr>
          <w:p>
            <w:pPr>
              <w:jc w:val="left"/>
            </w:pPr>
            <w:r/>
            <w:r>
              <w:rPr>
                <w:rFonts w:ascii="Arial" w:hAnsi="Arial"/>
                <w:b w:val="0"/>
                <w:sz w:val="18"/>
              </w:rPr>
              <w:t>Same or repeating camera filenames</w:t>
            </w:r>
          </w:p>
        </w:tc>
        <w:tc>
          <w:tcPr>
            <w:tcW w:type="dxa" w:w="6480"/>
            <w:vAlign w:val="top"/>
          </w:tcPr>
          <w:p>
            <w:pPr>
              <w:jc w:val="left"/>
            </w:pPr>
            <w:r/>
            <w:r>
              <w:rPr>
                <w:rFonts w:ascii="Arial" w:hAnsi="Arial"/>
                <w:b w:val="0"/>
                <w:sz w:val="18"/>
              </w:rPr>
              <w:t>Use reel ID, physical card ID, unique clip ID, and logs.</w:t>
            </w:r>
          </w:p>
        </w:tc>
      </w:tr>
      <w:tr>
        <w:tc>
          <w:tcPr>
            <w:tcW w:type="dxa" w:w="3312"/>
            <w:vAlign w:val="top"/>
          </w:tcPr>
          <w:p>
            <w:pPr>
              <w:jc w:val="left"/>
            </w:pPr>
            <w:r/>
            <w:r>
              <w:rPr>
                <w:rFonts w:ascii="Arial" w:hAnsi="Arial"/>
                <w:b w:val="0"/>
                <w:sz w:val="18"/>
              </w:rPr>
              <w:t>Flat folder of loose MXF files</w:t>
            </w:r>
          </w:p>
        </w:tc>
        <w:tc>
          <w:tcPr>
            <w:tcW w:type="dxa" w:w="6480"/>
            <w:vAlign w:val="top"/>
          </w:tcPr>
          <w:p>
            <w:pPr>
              <w:jc w:val="left"/>
            </w:pPr>
            <w:r/>
            <w:r>
              <w:rPr>
                <w:rFonts w:ascii="Arial" w:hAnsi="Arial"/>
                <w:b w:val="0"/>
                <w:sz w:val="18"/>
              </w:rPr>
              <w:t>Copy and preserve full card structure.</w:t>
            </w:r>
          </w:p>
        </w:tc>
      </w:tr>
      <w:tr>
        <w:tc>
          <w:tcPr>
            <w:tcW w:type="dxa" w:w="3312"/>
            <w:vAlign w:val="top"/>
          </w:tcPr>
          <w:p>
            <w:pPr>
              <w:jc w:val="left"/>
            </w:pPr>
            <w:r/>
            <w:r>
              <w:rPr>
                <w:rFonts w:ascii="Arial" w:hAnsi="Arial"/>
                <w:b w:val="0"/>
                <w:sz w:val="18"/>
              </w:rPr>
              <w:t>Card formatted too early</w:t>
            </w:r>
          </w:p>
        </w:tc>
        <w:tc>
          <w:tcPr>
            <w:tcW w:type="dxa" w:w="6480"/>
            <w:vAlign w:val="top"/>
          </w:tcPr>
          <w:p>
            <w:pPr>
              <w:jc w:val="left"/>
            </w:pPr>
            <w:r/>
            <w:r>
              <w:rPr>
                <w:rFonts w:ascii="Arial" w:hAnsi="Arial"/>
                <w:b w:val="0"/>
                <w:sz w:val="18"/>
              </w:rPr>
              <w:t>Require verified primary copy plus second backup.</w:t>
            </w:r>
          </w:p>
        </w:tc>
      </w:tr>
      <w:tr>
        <w:tc>
          <w:tcPr>
            <w:tcW w:type="dxa" w:w="3312"/>
            <w:vAlign w:val="top"/>
          </w:tcPr>
          <w:p>
            <w:pPr>
              <w:jc w:val="left"/>
            </w:pPr>
            <w:r/>
            <w:r>
              <w:rPr>
                <w:rFonts w:ascii="Arial" w:hAnsi="Arial"/>
                <w:b w:val="0"/>
                <w:sz w:val="18"/>
              </w:rPr>
              <w:t>Audio separated from picture</w:t>
            </w:r>
          </w:p>
        </w:tc>
        <w:tc>
          <w:tcPr>
            <w:tcW w:type="dxa" w:w="6480"/>
            <w:vAlign w:val="top"/>
          </w:tcPr>
          <w:p>
            <w:pPr>
              <w:jc w:val="left"/>
            </w:pPr>
            <w:r/>
            <w:r>
              <w:rPr>
                <w:rFonts w:ascii="Arial" w:hAnsi="Arial"/>
                <w:b w:val="0"/>
                <w:sz w:val="18"/>
              </w:rPr>
              <w:t>Use clip logs, audio routing codes, and audio original folders.</w:t>
            </w:r>
          </w:p>
        </w:tc>
      </w:tr>
      <w:tr>
        <w:tc>
          <w:tcPr>
            <w:tcW w:type="dxa" w:w="3312"/>
            <w:vAlign w:val="top"/>
          </w:tcPr>
          <w:p>
            <w:pPr>
              <w:jc w:val="left"/>
            </w:pPr>
            <w:r/>
            <w:r>
              <w:rPr>
                <w:rFonts w:ascii="Arial" w:hAnsi="Arial"/>
                <w:b w:val="0"/>
                <w:sz w:val="18"/>
              </w:rPr>
              <w:t>Proxy confusion</w:t>
            </w:r>
          </w:p>
        </w:tc>
        <w:tc>
          <w:tcPr>
            <w:tcW w:type="dxa" w:w="6480"/>
            <w:vAlign w:val="top"/>
          </w:tcPr>
          <w:p>
            <w:pPr>
              <w:jc w:val="left"/>
            </w:pPr>
            <w:r/>
            <w:r>
              <w:rPr>
                <w:rFonts w:ascii="Arial" w:hAnsi="Arial"/>
                <w:b w:val="0"/>
                <w:sz w:val="18"/>
              </w:rPr>
              <w:t>Track proxy creation status per clip.</w:t>
            </w:r>
          </w:p>
        </w:tc>
      </w:tr>
      <w:tr>
        <w:tc>
          <w:tcPr>
            <w:tcW w:type="dxa" w:w="3312"/>
            <w:vAlign w:val="top"/>
          </w:tcPr>
          <w:p>
            <w:pPr>
              <w:jc w:val="left"/>
            </w:pPr>
            <w:r/>
            <w:r>
              <w:rPr>
                <w:rFonts w:ascii="Arial" w:hAnsi="Arial"/>
                <w:b w:val="0"/>
                <w:sz w:val="18"/>
              </w:rPr>
              <w:t>Project lost after edit</w:t>
            </w:r>
          </w:p>
        </w:tc>
        <w:tc>
          <w:tcPr>
            <w:tcW w:type="dxa" w:w="6480"/>
            <w:vAlign w:val="top"/>
          </w:tcPr>
          <w:p>
            <w:pPr>
              <w:jc w:val="left"/>
            </w:pPr>
            <w:r/>
            <w:r>
              <w:rPr>
                <w:rFonts w:ascii="Arial" w:hAnsi="Arial"/>
                <w:b w:val="0"/>
                <w:sz w:val="18"/>
              </w:rPr>
              <w:t>Archive originals, audio, project files, logs, exports, and LUT/settings notes.</w:t>
            </w:r>
          </w:p>
        </w:tc>
      </w:tr>
    </w:tbl>
    <w:p/>
    <w:p>
      <w:r>
        <w:br w:type="page"/>
      </w:r>
    </w:p>
    <w:p>
      <w:pPr>
        <w:pStyle w:val="Heading1"/>
      </w:pPr>
      <w:r>
        <w:t>2. Naming and Identity System</w:t>
      </w:r>
    </w:p>
    <w:tbl>
      <w:tblPr>
        <w:tblStyle w:val="TableGrid"/>
        <w:tblW w:type="auto" w:w="0"/>
        <w:jc w:val="center"/>
        <w:tblLook w:firstColumn="1" w:firstRow="1" w:lastColumn="0" w:lastRow="0" w:noHBand="0" w:noVBand="1" w:val="04A0"/>
      </w:tblPr>
      <w:tblGrid>
        <w:gridCol w:w="3456"/>
        <w:gridCol w:w="3456"/>
        <w:gridCol w:w="3456"/>
      </w:tblGrid>
      <w:tr>
        <w:tc>
          <w:tcPr>
            <w:tcW w:type="dxa" w:w="2376"/>
            <w:shd w:fill="1F4E79"/>
            <w:vAlign w:val="top"/>
          </w:tcPr>
          <w:p>
            <w:pPr>
              <w:jc w:val="left"/>
            </w:pPr>
            <w:r/>
            <w:r>
              <w:rPr>
                <w:rFonts w:ascii="Arial" w:hAnsi="Arial"/>
                <w:b/>
                <w:color w:val="FFFFFF"/>
                <w:sz w:val="17"/>
              </w:rPr>
              <w:t>Identity item</w:t>
            </w:r>
          </w:p>
        </w:tc>
        <w:tc>
          <w:tcPr>
            <w:tcW w:type="dxa" w:w="3384"/>
            <w:shd w:fill="1F4E79"/>
            <w:vAlign w:val="top"/>
          </w:tcPr>
          <w:p>
            <w:pPr>
              <w:jc w:val="left"/>
            </w:pPr>
            <w:r/>
            <w:r>
              <w:rPr>
                <w:rFonts w:ascii="Arial" w:hAnsi="Arial"/>
                <w:b/>
                <w:color w:val="FFFFFF"/>
                <w:sz w:val="17"/>
              </w:rPr>
              <w:t>Meaning</w:t>
            </w:r>
          </w:p>
        </w:tc>
        <w:tc>
          <w:tcPr>
            <w:tcW w:type="dxa" w:w="4032"/>
            <w:shd w:fill="1F4E79"/>
            <w:vAlign w:val="top"/>
          </w:tcPr>
          <w:p>
            <w:pPr>
              <w:jc w:val="left"/>
            </w:pPr>
            <w:r/>
            <w:r>
              <w:rPr>
                <w:rFonts w:ascii="Arial" w:hAnsi="Arial"/>
                <w:b/>
                <w:color w:val="FFFFFF"/>
                <w:sz w:val="17"/>
              </w:rPr>
              <w:t>Field rule</w:t>
            </w:r>
          </w:p>
        </w:tc>
      </w:tr>
      <w:tr>
        <w:tc>
          <w:tcPr>
            <w:tcW w:type="dxa" w:w="2376"/>
            <w:vAlign w:val="top"/>
          </w:tcPr>
          <w:p>
            <w:pPr>
              <w:jc w:val="left"/>
            </w:pPr>
            <w:r/>
            <w:r>
              <w:rPr>
                <w:rFonts w:ascii="Arial" w:hAnsi="Arial"/>
                <w:b w:val="0"/>
                <w:sz w:val="17"/>
              </w:rPr>
              <w:t>Project code</w:t>
            </w:r>
          </w:p>
        </w:tc>
        <w:tc>
          <w:tcPr>
            <w:tcW w:type="dxa" w:w="3384"/>
            <w:vAlign w:val="top"/>
          </w:tcPr>
          <w:p>
            <w:pPr>
              <w:jc w:val="left"/>
            </w:pPr>
            <w:r/>
            <w:r>
              <w:rPr>
                <w:rFonts w:ascii="Arial" w:hAnsi="Arial"/>
                <w:b w:val="0"/>
                <w:sz w:val="17"/>
              </w:rPr>
              <w:t>Short production identifier.</w:t>
            </w:r>
          </w:p>
        </w:tc>
        <w:tc>
          <w:tcPr>
            <w:tcW w:type="dxa" w:w="4032"/>
            <w:vAlign w:val="top"/>
          </w:tcPr>
          <w:p>
            <w:pPr>
              <w:jc w:val="left"/>
            </w:pPr>
            <w:r/>
            <w:r>
              <w:rPr>
                <w:rFonts w:ascii="Arial" w:hAnsi="Arial"/>
                <w:b w:val="0"/>
                <w:sz w:val="17"/>
              </w:rPr>
              <w:t>Use consistently in folder/log names.</w:t>
            </w:r>
          </w:p>
        </w:tc>
      </w:tr>
      <w:tr>
        <w:tc>
          <w:tcPr>
            <w:tcW w:type="dxa" w:w="2376"/>
            <w:vAlign w:val="top"/>
          </w:tcPr>
          <w:p>
            <w:pPr>
              <w:jc w:val="left"/>
            </w:pPr>
            <w:r/>
            <w:r>
              <w:rPr>
                <w:rFonts w:ascii="Arial" w:hAnsi="Arial"/>
                <w:b w:val="0"/>
                <w:sz w:val="17"/>
              </w:rPr>
              <w:t>Physical card ID</w:t>
            </w:r>
          </w:p>
        </w:tc>
        <w:tc>
          <w:tcPr>
            <w:tcW w:type="dxa" w:w="3384"/>
            <w:vAlign w:val="top"/>
          </w:tcPr>
          <w:p>
            <w:pPr>
              <w:jc w:val="left"/>
            </w:pPr>
            <w:r/>
            <w:r>
              <w:rPr>
                <w:rFonts w:ascii="Arial" w:hAnsi="Arial"/>
                <w:b w:val="0"/>
                <w:sz w:val="17"/>
              </w:rPr>
              <w:t>Label on the actual media card.</w:t>
            </w:r>
          </w:p>
        </w:tc>
        <w:tc>
          <w:tcPr>
            <w:tcW w:type="dxa" w:w="4032"/>
            <w:vAlign w:val="top"/>
          </w:tcPr>
          <w:p>
            <w:pPr>
              <w:jc w:val="left"/>
            </w:pPr>
            <w:r/>
            <w:r>
              <w:rPr>
                <w:rFonts w:ascii="Arial" w:hAnsi="Arial"/>
                <w:b w:val="0"/>
                <w:sz w:val="17"/>
              </w:rPr>
              <w:t>Do not treat it as the same thing as a reel ID.</w:t>
            </w:r>
          </w:p>
        </w:tc>
      </w:tr>
      <w:tr>
        <w:tc>
          <w:tcPr>
            <w:tcW w:type="dxa" w:w="2376"/>
            <w:vAlign w:val="top"/>
          </w:tcPr>
          <w:p>
            <w:pPr>
              <w:jc w:val="left"/>
            </w:pPr>
            <w:r/>
            <w:r>
              <w:rPr>
                <w:rFonts w:ascii="Arial" w:hAnsi="Arial"/>
                <w:b w:val="0"/>
                <w:sz w:val="17"/>
              </w:rPr>
              <w:t>Reel/offload ID</w:t>
            </w:r>
          </w:p>
        </w:tc>
        <w:tc>
          <w:tcPr>
            <w:tcW w:type="dxa" w:w="3384"/>
            <w:vAlign w:val="top"/>
          </w:tcPr>
          <w:p>
            <w:pPr>
              <w:jc w:val="left"/>
            </w:pPr>
            <w:r/>
            <w:r>
              <w:rPr>
                <w:rFonts w:ascii="Arial" w:hAnsi="Arial"/>
                <w:b w:val="0"/>
                <w:sz w:val="17"/>
              </w:rPr>
              <w:t>Folder and post identity for a copied card/offload.</w:t>
            </w:r>
          </w:p>
        </w:tc>
        <w:tc>
          <w:tcPr>
            <w:tcW w:type="dxa" w:w="4032"/>
            <w:vAlign w:val="top"/>
          </w:tcPr>
          <w:p>
            <w:pPr>
              <w:jc w:val="left"/>
            </w:pPr>
            <w:r/>
            <w:r>
              <w:rPr>
                <w:rFonts w:ascii="Arial" w:hAnsi="Arial"/>
                <w:b w:val="0"/>
                <w:sz w:val="17"/>
              </w:rPr>
              <w:t>Use consistent reel folder format.</w:t>
            </w:r>
          </w:p>
        </w:tc>
      </w:tr>
      <w:tr>
        <w:tc>
          <w:tcPr>
            <w:tcW w:type="dxa" w:w="2376"/>
            <w:vAlign w:val="top"/>
          </w:tcPr>
          <w:p>
            <w:pPr>
              <w:jc w:val="left"/>
            </w:pPr>
            <w:r/>
            <w:r>
              <w:rPr>
                <w:rFonts w:ascii="Arial" w:hAnsi="Arial"/>
                <w:b w:val="0"/>
                <w:sz w:val="17"/>
              </w:rPr>
              <w:t>Camera clip name</w:t>
            </w:r>
          </w:p>
        </w:tc>
        <w:tc>
          <w:tcPr>
            <w:tcW w:type="dxa" w:w="3384"/>
            <w:vAlign w:val="top"/>
          </w:tcPr>
          <w:p>
            <w:pPr>
              <w:jc w:val="left"/>
            </w:pPr>
            <w:r/>
            <w:r>
              <w:rPr>
                <w:rFonts w:ascii="Arial" w:hAnsi="Arial"/>
                <w:b w:val="0"/>
                <w:sz w:val="17"/>
              </w:rPr>
              <w:t>FX6 file-level name.</w:t>
            </w:r>
          </w:p>
        </w:tc>
        <w:tc>
          <w:tcPr>
            <w:tcW w:type="dxa" w:w="4032"/>
            <w:vAlign w:val="top"/>
          </w:tcPr>
          <w:p>
            <w:pPr>
              <w:jc w:val="left"/>
            </w:pPr>
            <w:r/>
            <w:r>
              <w:rPr>
                <w:rFonts w:ascii="Arial" w:hAnsi="Arial"/>
                <w:b w:val="0"/>
                <w:sz w:val="17"/>
              </w:rPr>
              <w:t>Do not rely on it alone; do not casually rename originals.</w:t>
            </w:r>
          </w:p>
        </w:tc>
      </w:tr>
      <w:tr>
        <w:tc>
          <w:tcPr>
            <w:tcW w:type="dxa" w:w="2376"/>
            <w:vAlign w:val="top"/>
          </w:tcPr>
          <w:p>
            <w:pPr>
              <w:jc w:val="left"/>
            </w:pPr>
            <w:r/>
            <w:r>
              <w:rPr>
                <w:rFonts w:ascii="Arial" w:hAnsi="Arial"/>
                <w:b w:val="0"/>
                <w:sz w:val="17"/>
              </w:rPr>
              <w:t>Unique Clip ID</w:t>
            </w:r>
          </w:p>
        </w:tc>
        <w:tc>
          <w:tcPr>
            <w:tcW w:type="dxa" w:w="3384"/>
            <w:vAlign w:val="top"/>
          </w:tcPr>
          <w:p>
            <w:pPr>
              <w:jc w:val="left"/>
            </w:pPr>
            <w:r/>
            <w:r>
              <w:rPr>
                <w:rFonts w:ascii="Arial" w:hAnsi="Arial"/>
                <w:b w:val="0"/>
                <w:sz w:val="17"/>
              </w:rPr>
              <w:t>Reel ID plus camera clip identity.</w:t>
            </w:r>
          </w:p>
        </w:tc>
        <w:tc>
          <w:tcPr>
            <w:tcW w:type="dxa" w:w="4032"/>
            <w:vAlign w:val="top"/>
          </w:tcPr>
          <w:p>
            <w:pPr>
              <w:jc w:val="left"/>
            </w:pPr>
            <w:r/>
            <w:r>
              <w:rPr>
                <w:rFonts w:ascii="Arial" w:hAnsi="Arial"/>
                <w:b w:val="0"/>
                <w:sz w:val="17"/>
              </w:rPr>
              <w:t>Use in logs and post notes.</w:t>
            </w:r>
          </w:p>
        </w:tc>
      </w:tr>
      <w:tr>
        <w:tc>
          <w:tcPr>
            <w:tcW w:type="dxa" w:w="2376"/>
            <w:vAlign w:val="top"/>
          </w:tcPr>
          <w:p>
            <w:pPr>
              <w:jc w:val="left"/>
            </w:pPr>
            <w:r/>
            <w:r>
              <w:rPr>
                <w:rFonts w:ascii="Arial" w:hAnsi="Arial"/>
                <w:b w:val="0"/>
                <w:sz w:val="17"/>
              </w:rPr>
              <w:t>Settings card label</w:t>
            </w:r>
          </w:p>
        </w:tc>
        <w:tc>
          <w:tcPr>
            <w:tcW w:type="dxa" w:w="3384"/>
            <w:vAlign w:val="top"/>
          </w:tcPr>
          <w:p>
            <w:pPr>
              <w:jc w:val="left"/>
            </w:pPr>
            <w:r/>
            <w:r>
              <w:rPr>
                <w:rFonts w:ascii="Arial" w:hAnsi="Arial"/>
                <w:b w:val="0"/>
                <w:sz w:val="17"/>
              </w:rPr>
              <w:t>FX6 SETTINGS - DO NOT FORMAT.</w:t>
            </w:r>
          </w:p>
        </w:tc>
        <w:tc>
          <w:tcPr>
            <w:tcW w:type="dxa" w:w="4032"/>
            <w:vAlign w:val="top"/>
          </w:tcPr>
          <w:p>
            <w:pPr>
              <w:jc w:val="left"/>
            </w:pPr>
            <w:r/>
            <w:r>
              <w:rPr>
                <w:rFonts w:ascii="Arial" w:hAnsi="Arial"/>
                <w:b w:val="0"/>
                <w:sz w:val="17"/>
              </w:rPr>
              <w:t>Keep settings media separate from footage behavior.</w:t>
            </w:r>
          </w:p>
        </w:tc>
      </w:tr>
    </w:tbl>
    <w:p/>
    <w:p>
      <w:pPr>
        <w:pStyle w:val="Heading2"/>
      </w:pPr>
      <w:r>
        <w:t>Do-Not-Do Examples</w:t>
      </w:r>
    </w:p>
    <w:p>
      <w:pPr>
        <w:pStyle w:val="ListBullet"/>
      </w:pPr>
      <w:r>
        <w:rPr>
          <w:rFonts w:ascii="Arial" w:hAnsi="Arial"/>
          <w:sz w:val="18"/>
        </w:rPr>
        <w:t>Do not dump all clips from multiple cards into one folder.</w:t>
      </w:r>
    </w:p>
    <w:p>
      <w:pPr>
        <w:pStyle w:val="ListBullet"/>
      </w:pPr>
      <w:r>
        <w:rPr>
          <w:rFonts w:ascii="Arial" w:hAnsi="Arial"/>
          <w:sz w:val="18"/>
        </w:rPr>
        <w:t>Do not split camera-original folders into arbitrary chunks without preserving a full-card master.</w:t>
      </w:r>
    </w:p>
    <w:p>
      <w:pPr>
        <w:pStyle w:val="ListBullet"/>
      </w:pPr>
      <w:r>
        <w:rPr>
          <w:rFonts w:ascii="Arial" w:hAnsi="Arial"/>
          <w:sz w:val="18"/>
        </w:rPr>
        <w:t>Do not format cards before backup status is complete.</w:t>
      </w:r>
    </w:p>
    <w:p>
      <w:pPr>
        <w:pStyle w:val="ListBullet"/>
      </w:pPr>
      <w:r>
        <w:rPr>
          <w:rFonts w:ascii="Arial" w:hAnsi="Arial"/>
          <w:sz w:val="18"/>
        </w:rPr>
        <w:t>Do not assume audio clips will be obvious later without logs.</w:t>
      </w:r>
    </w:p>
    <w:p>
      <w:pPr>
        <w:pStyle w:val="ListBullet"/>
      </w:pPr>
      <w:r>
        <w:rPr>
          <w:rFonts w:ascii="Arial" w:hAnsi="Arial"/>
          <w:sz w:val="18"/>
        </w:rPr>
        <w:t>Do not rename camera originals as a shortcut for organization.</w:t>
      </w:r>
    </w:p>
    <w:p>
      <w:r>
        <w:br w:type="page"/>
      </w:r>
    </w:p>
    <w:p>
      <w:pPr>
        <w:pStyle w:val="Heading1"/>
      </w:pPr>
      <w:r>
        <w:t>3. Before the Shoot</w:t>
      </w:r>
    </w:p>
    <w:tbl>
      <w:tblPr>
        <w:tblStyle w:val="TableGrid"/>
        <w:tblW w:type="auto" w:w="0"/>
        <w:jc w:val="center"/>
        <w:tblLook w:firstColumn="1" w:firstRow="1" w:lastColumn="0" w:lastRow="0" w:noHBand="0" w:noVBand="1" w:val="04A0"/>
      </w:tblPr>
      <w:tblGrid>
        <w:gridCol w:w="5184"/>
        <w:gridCol w:w="5184"/>
      </w:tblGrid>
      <w:tr>
        <w:tc>
          <w:tcPr>
            <w:tcW w:type="dxa" w:w="2160"/>
            <w:shd w:fill="1F4E79"/>
            <w:vAlign w:val="top"/>
          </w:tcPr>
          <w:p>
            <w:pPr>
              <w:jc w:val="left"/>
            </w:pPr>
            <w:r/>
            <w:r>
              <w:rPr>
                <w:rFonts w:ascii="Arial" w:hAnsi="Arial"/>
                <w:b/>
                <w:color w:val="FFFFFF"/>
                <w:sz w:val="18"/>
              </w:rPr>
              <w:t>Category</w:t>
            </w:r>
          </w:p>
        </w:tc>
        <w:tc>
          <w:tcPr>
            <w:tcW w:type="dxa" w:w="7632"/>
            <w:shd w:fill="1F4E79"/>
            <w:vAlign w:val="top"/>
          </w:tcPr>
          <w:p>
            <w:pPr>
              <w:jc w:val="left"/>
            </w:pPr>
            <w:r/>
            <w:r>
              <w:rPr>
                <w:rFonts w:ascii="Arial" w:hAnsi="Arial"/>
                <w:b/>
                <w:color w:val="FFFFFF"/>
                <w:sz w:val="18"/>
              </w:rPr>
              <w:t>Check</w:t>
            </w:r>
          </w:p>
        </w:tc>
      </w:tr>
      <w:tr>
        <w:tc>
          <w:tcPr>
            <w:tcW w:type="dxa" w:w="2160"/>
            <w:vAlign w:val="top"/>
          </w:tcPr>
          <w:p>
            <w:pPr>
              <w:jc w:val="left"/>
            </w:pPr>
            <w:r/>
            <w:r>
              <w:rPr>
                <w:rFonts w:ascii="Arial" w:hAnsi="Arial"/>
                <w:b w:val="0"/>
                <w:sz w:val="18"/>
              </w:rPr>
              <w:t>Camera/media</w:t>
            </w:r>
          </w:p>
        </w:tc>
        <w:tc>
          <w:tcPr>
            <w:tcW w:type="dxa" w:w="7632"/>
            <w:vAlign w:val="top"/>
          </w:tcPr>
          <w:p>
            <w:pPr>
              <w:jc w:val="left"/>
            </w:pPr>
            <w:r/>
            <w:r>
              <w:rPr>
                <w:rFonts w:ascii="Arial" w:hAnsi="Arial"/>
                <w:b w:val="0"/>
                <w:sz w:val="18"/>
              </w:rPr>
              <w:t>Batteries charged; cards backed up before formatting; settings card labeled; ALL/User/Scene files and LUTs ready.</w:t>
            </w:r>
          </w:p>
        </w:tc>
      </w:tr>
      <w:tr>
        <w:tc>
          <w:tcPr>
            <w:tcW w:type="dxa" w:w="2160"/>
            <w:vAlign w:val="top"/>
          </w:tcPr>
          <w:p>
            <w:pPr>
              <w:jc w:val="left"/>
            </w:pPr>
            <w:r/>
            <w:r>
              <w:rPr>
                <w:rFonts w:ascii="Arial" w:hAnsi="Arial"/>
                <w:b w:val="0"/>
                <w:sz w:val="18"/>
              </w:rPr>
              <w:t>Storage</w:t>
            </w:r>
          </w:p>
        </w:tc>
        <w:tc>
          <w:tcPr>
            <w:tcW w:type="dxa" w:w="7632"/>
            <w:vAlign w:val="top"/>
          </w:tcPr>
          <w:p>
            <w:pPr>
              <w:jc w:val="left"/>
            </w:pPr>
            <w:r/>
            <w:r>
              <w:rPr>
                <w:rFonts w:ascii="Arial" w:hAnsi="Arial"/>
                <w:b w:val="0"/>
                <w:sz w:val="18"/>
              </w:rPr>
              <w:t>Primary offload drive plus second backup drive available; card reader/cables tested.</w:t>
            </w:r>
          </w:p>
        </w:tc>
      </w:tr>
      <w:tr>
        <w:tc>
          <w:tcPr>
            <w:tcW w:type="dxa" w:w="2160"/>
            <w:vAlign w:val="top"/>
          </w:tcPr>
          <w:p>
            <w:pPr>
              <w:jc w:val="left"/>
            </w:pPr>
            <w:r/>
            <w:r>
              <w:rPr>
                <w:rFonts w:ascii="Arial" w:hAnsi="Arial"/>
                <w:b w:val="0"/>
                <w:sz w:val="18"/>
              </w:rPr>
              <w:t>Folder plan</w:t>
            </w:r>
          </w:p>
        </w:tc>
        <w:tc>
          <w:tcPr>
            <w:tcW w:type="dxa" w:w="7632"/>
            <w:vAlign w:val="top"/>
          </w:tcPr>
          <w:p>
            <w:pPr>
              <w:jc w:val="left"/>
            </w:pPr>
            <w:r/>
            <w:r>
              <w:rPr>
                <w:rFonts w:ascii="Arial" w:hAnsi="Arial"/>
                <w:b w:val="0"/>
                <w:sz w:val="18"/>
              </w:rPr>
              <w:t>Project root, camera originals, audio originals, proxies/cache, exports, logs, and settings/LUT notes prepared.</w:t>
            </w:r>
          </w:p>
        </w:tc>
      </w:tr>
      <w:tr>
        <w:tc>
          <w:tcPr>
            <w:tcW w:type="dxa" w:w="2160"/>
            <w:vAlign w:val="top"/>
          </w:tcPr>
          <w:p>
            <w:pPr>
              <w:jc w:val="left"/>
            </w:pPr>
            <w:r/>
            <w:r>
              <w:rPr>
                <w:rFonts w:ascii="Arial" w:hAnsi="Arial"/>
                <w:b w:val="0"/>
                <w:sz w:val="18"/>
              </w:rPr>
              <w:t>Logging</w:t>
            </w:r>
          </w:p>
        </w:tc>
        <w:tc>
          <w:tcPr>
            <w:tcW w:type="dxa" w:w="7632"/>
            <w:vAlign w:val="top"/>
          </w:tcPr>
          <w:p>
            <w:pPr>
              <w:jc w:val="left"/>
            </w:pPr>
            <w:r/>
            <w:r>
              <w:rPr>
                <w:rFonts w:ascii="Arial" w:hAnsi="Arial"/>
                <w:b w:val="0"/>
                <w:sz w:val="18"/>
              </w:rPr>
              <w:t>Clip log or paper log ready; marker/pen; slate; project code; physical card IDs; reel naming plan.</w:t>
            </w:r>
          </w:p>
        </w:tc>
      </w:tr>
      <w:tr>
        <w:tc>
          <w:tcPr>
            <w:tcW w:type="dxa" w:w="2160"/>
            <w:vAlign w:val="top"/>
          </w:tcPr>
          <w:p>
            <w:pPr>
              <w:jc w:val="left"/>
            </w:pPr>
            <w:r/>
            <w:r>
              <w:rPr>
                <w:rFonts w:ascii="Arial" w:hAnsi="Arial"/>
                <w:b w:val="0"/>
                <w:sz w:val="18"/>
              </w:rPr>
              <w:t>Audio originals</w:t>
            </w:r>
          </w:p>
        </w:tc>
        <w:tc>
          <w:tcPr>
            <w:tcW w:type="dxa" w:w="7632"/>
            <w:vAlign w:val="top"/>
          </w:tcPr>
          <w:p>
            <w:pPr>
              <w:jc w:val="left"/>
            </w:pPr>
            <w:r/>
            <w:r>
              <w:rPr>
                <w:rFonts w:ascii="Arial" w:hAnsi="Arial"/>
                <w:b w:val="0"/>
                <w:sz w:val="18"/>
              </w:rPr>
              <w:t>Plan where RØDE onboard/boom/external recorder files will be copied and linked to picture.</w:t>
            </w:r>
          </w:p>
        </w:tc>
      </w:tr>
    </w:tbl>
    <w:p/>
    <w:tbl>
      <w:tblPr>
        <w:tblW w:type="auto" w:w="0"/>
        <w:jc w:val="center"/>
        <w:tblLook w:firstColumn="1" w:firstRow="1" w:lastColumn="0" w:lastRow="0" w:noHBand="0" w:noVBand="1" w:val="04A0"/>
      </w:tblPr>
      <w:tblGrid>
        <w:gridCol w:w="10368"/>
      </w:tblGrid>
      <w:tr>
        <w:tc>
          <w:tcPr>
            <w:tcW w:type="dxa" w:w="10368"/>
            <w:shd w:fill="FFF2CC"/>
          </w:tcPr>
          <w:p>
            <w:r>
              <w:rPr>
                <w:rFonts w:ascii="Arial" w:hAnsi="Arial"/>
                <w:b/>
                <w:sz w:val="19"/>
              </w:rPr>
              <w:t xml:space="preserve">Night-before rule: </w:t>
            </w:r>
            <w:r>
              <w:rPr>
                <w:rFonts w:ascii="Arial" w:hAnsi="Arial"/>
                <w:sz w:val="19"/>
              </w:rPr>
              <w:t>A missing folder plan becomes a post-production problem. Build the map before the card contains irreplaceable footage.</w:t>
            </w:r>
          </w:p>
        </w:tc>
      </w:tr>
    </w:tbl>
    <w:p/>
    <w:p>
      <w:r>
        <w:br w:type="page"/>
      </w:r>
    </w:p>
    <w:p>
      <w:pPr>
        <w:pStyle w:val="Heading1"/>
      </w:pPr>
      <w:r>
        <w:t>4. On-Set Logging</w:t>
      </w:r>
    </w:p>
    <w:tbl>
      <w:tblPr>
        <w:tblStyle w:val="TableGrid"/>
        <w:tblW w:type="auto" w:w="0"/>
        <w:jc w:val="center"/>
        <w:tblLook w:firstColumn="1" w:firstRow="1" w:lastColumn="0" w:lastRow="0" w:noHBand="0" w:noVBand="1" w:val="04A0"/>
      </w:tblPr>
      <w:tblGrid>
        <w:gridCol w:w="5184"/>
        <w:gridCol w:w="5184"/>
      </w:tblGrid>
      <w:tr>
        <w:tc>
          <w:tcPr>
            <w:tcW w:type="dxa" w:w="2304"/>
            <w:shd w:fill="1F4E79"/>
            <w:vAlign w:val="top"/>
          </w:tcPr>
          <w:p>
            <w:pPr>
              <w:jc w:val="left"/>
            </w:pPr>
            <w:r/>
            <w:r>
              <w:rPr>
                <w:rFonts w:ascii="Arial" w:hAnsi="Arial"/>
                <w:b/>
                <w:color w:val="FFFFFF"/>
                <w:sz w:val="18"/>
              </w:rPr>
              <w:t>Log field</w:t>
            </w:r>
          </w:p>
        </w:tc>
        <w:tc>
          <w:tcPr>
            <w:tcW w:type="dxa" w:w="7488"/>
            <w:shd w:fill="1F4E79"/>
            <w:vAlign w:val="top"/>
          </w:tcPr>
          <w:p>
            <w:pPr>
              <w:jc w:val="left"/>
            </w:pPr>
            <w:r/>
            <w:r>
              <w:rPr>
                <w:rFonts w:ascii="Arial" w:hAnsi="Arial"/>
                <w:b/>
                <w:color w:val="FFFFFF"/>
                <w:sz w:val="18"/>
              </w:rPr>
              <w:t>Use</w:t>
            </w:r>
          </w:p>
        </w:tc>
      </w:tr>
      <w:tr>
        <w:tc>
          <w:tcPr>
            <w:tcW w:type="dxa" w:w="2304"/>
            <w:vAlign w:val="top"/>
          </w:tcPr>
          <w:p>
            <w:pPr>
              <w:jc w:val="left"/>
            </w:pPr>
            <w:r/>
            <w:r>
              <w:rPr>
                <w:rFonts w:ascii="Arial" w:hAnsi="Arial"/>
                <w:b w:val="0"/>
                <w:sz w:val="18"/>
              </w:rPr>
              <w:t>Project code</w:t>
            </w:r>
          </w:p>
        </w:tc>
        <w:tc>
          <w:tcPr>
            <w:tcW w:type="dxa" w:w="7488"/>
            <w:vAlign w:val="top"/>
          </w:tcPr>
          <w:p>
            <w:pPr>
              <w:jc w:val="left"/>
            </w:pPr>
            <w:r/>
            <w:r>
              <w:rPr>
                <w:rFonts w:ascii="Arial" w:hAnsi="Arial"/>
                <w:b w:val="0"/>
                <w:sz w:val="18"/>
              </w:rPr>
              <w:t>Identifies production across camera, audio, and post folders.</w:t>
            </w:r>
          </w:p>
        </w:tc>
      </w:tr>
      <w:tr>
        <w:tc>
          <w:tcPr>
            <w:tcW w:type="dxa" w:w="2304"/>
            <w:vAlign w:val="top"/>
          </w:tcPr>
          <w:p>
            <w:pPr>
              <w:jc w:val="left"/>
            </w:pPr>
            <w:r/>
            <w:r>
              <w:rPr>
                <w:rFonts w:ascii="Arial" w:hAnsi="Arial"/>
                <w:b w:val="0"/>
                <w:sz w:val="18"/>
              </w:rPr>
              <w:t>Date</w:t>
            </w:r>
          </w:p>
        </w:tc>
        <w:tc>
          <w:tcPr>
            <w:tcW w:type="dxa" w:w="7488"/>
            <w:vAlign w:val="top"/>
          </w:tcPr>
          <w:p>
            <w:pPr>
              <w:jc w:val="left"/>
            </w:pPr>
            <w:r/>
            <w:r>
              <w:rPr>
                <w:rFonts w:ascii="Arial" w:hAnsi="Arial"/>
                <w:b w:val="0"/>
                <w:sz w:val="18"/>
              </w:rPr>
              <w:t>Separates shoot days and supports archive search.</w:t>
            </w:r>
          </w:p>
        </w:tc>
      </w:tr>
      <w:tr>
        <w:tc>
          <w:tcPr>
            <w:tcW w:type="dxa" w:w="2304"/>
            <w:vAlign w:val="top"/>
          </w:tcPr>
          <w:p>
            <w:pPr>
              <w:jc w:val="left"/>
            </w:pPr>
            <w:r/>
            <w:r>
              <w:rPr>
                <w:rFonts w:ascii="Arial" w:hAnsi="Arial"/>
                <w:b w:val="0"/>
                <w:sz w:val="18"/>
              </w:rPr>
              <w:t>Reel ID</w:t>
            </w:r>
          </w:p>
        </w:tc>
        <w:tc>
          <w:tcPr>
            <w:tcW w:type="dxa" w:w="7488"/>
            <w:vAlign w:val="top"/>
          </w:tcPr>
          <w:p>
            <w:pPr>
              <w:jc w:val="left"/>
            </w:pPr>
            <w:r/>
            <w:r>
              <w:rPr>
                <w:rFonts w:ascii="Arial" w:hAnsi="Arial"/>
                <w:b w:val="0"/>
                <w:sz w:val="18"/>
              </w:rPr>
              <w:t>Connects card/offload folder to post bin.</w:t>
            </w:r>
          </w:p>
        </w:tc>
      </w:tr>
      <w:tr>
        <w:tc>
          <w:tcPr>
            <w:tcW w:type="dxa" w:w="2304"/>
            <w:vAlign w:val="top"/>
          </w:tcPr>
          <w:p>
            <w:pPr>
              <w:jc w:val="left"/>
            </w:pPr>
            <w:r/>
            <w:r>
              <w:rPr>
                <w:rFonts w:ascii="Arial" w:hAnsi="Arial"/>
                <w:b w:val="0"/>
                <w:sz w:val="18"/>
              </w:rPr>
              <w:t>Physical card ID</w:t>
            </w:r>
          </w:p>
        </w:tc>
        <w:tc>
          <w:tcPr>
            <w:tcW w:type="dxa" w:w="7488"/>
            <w:vAlign w:val="top"/>
          </w:tcPr>
          <w:p>
            <w:pPr>
              <w:jc w:val="left"/>
            </w:pPr>
            <w:r/>
            <w:r>
              <w:rPr>
                <w:rFonts w:ascii="Arial" w:hAnsi="Arial"/>
                <w:b w:val="0"/>
                <w:sz w:val="18"/>
              </w:rPr>
              <w:t>Confirms which card was used and backed up.</w:t>
            </w:r>
          </w:p>
        </w:tc>
      </w:tr>
      <w:tr>
        <w:tc>
          <w:tcPr>
            <w:tcW w:type="dxa" w:w="2304"/>
            <w:vAlign w:val="top"/>
          </w:tcPr>
          <w:p>
            <w:pPr>
              <w:jc w:val="left"/>
            </w:pPr>
            <w:r/>
            <w:r>
              <w:rPr>
                <w:rFonts w:ascii="Arial" w:hAnsi="Arial"/>
                <w:b w:val="0"/>
                <w:sz w:val="18"/>
              </w:rPr>
              <w:t>Camera clip name</w:t>
            </w:r>
          </w:p>
        </w:tc>
        <w:tc>
          <w:tcPr>
            <w:tcW w:type="dxa" w:w="7488"/>
            <w:vAlign w:val="top"/>
          </w:tcPr>
          <w:p>
            <w:pPr>
              <w:jc w:val="left"/>
            </w:pPr>
            <w:r/>
            <w:r>
              <w:rPr>
                <w:rFonts w:ascii="Arial" w:hAnsi="Arial"/>
                <w:b w:val="0"/>
                <w:sz w:val="18"/>
              </w:rPr>
              <w:t>Preserved as camera original identity.</w:t>
            </w:r>
          </w:p>
        </w:tc>
      </w:tr>
      <w:tr>
        <w:tc>
          <w:tcPr>
            <w:tcW w:type="dxa" w:w="2304"/>
            <w:vAlign w:val="top"/>
          </w:tcPr>
          <w:p>
            <w:pPr>
              <w:jc w:val="left"/>
            </w:pPr>
            <w:r/>
            <w:r>
              <w:rPr>
                <w:rFonts w:ascii="Arial" w:hAnsi="Arial"/>
                <w:b w:val="0"/>
                <w:sz w:val="18"/>
              </w:rPr>
              <w:t>Unique Clip ID</w:t>
            </w:r>
          </w:p>
        </w:tc>
        <w:tc>
          <w:tcPr>
            <w:tcW w:type="dxa" w:w="7488"/>
            <w:vAlign w:val="top"/>
          </w:tcPr>
          <w:p>
            <w:pPr>
              <w:jc w:val="left"/>
            </w:pPr>
            <w:r/>
            <w:r>
              <w:rPr>
                <w:rFonts w:ascii="Arial" w:hAnsi="Arial"/>
                <w:b w:val="0"/>
                <w:sz w:val="18"/>
              </w:rPr>
              <w:t>Primary human-readable clip reference.</w:t>
            </w:r>
          </w:p>
        </w:tc>
      </w:tr>
      <w:tr>
        <w:tc>
          <w:tcPr>
            <w:tcW w:type="dxa" w:w="2304"/>
            <w:vAlign w:val="top"/>
          </w:tcPr>
          <w:p>
            <w:pPr>
              <w:jc w:val="left"/>
            </w:pPr>
            <w:r/>
            <w:r>
              <w:rPr>
                <w:rFonts w:ascii="Arial" w:hAnsi="Arial"/>
                <w:b w:val="0"/>
                <w:sz w:val="18"/>
              </w:rPr>
              <w:t>Scene / shot / take</w:t>
            </w:r>
          </w:p>
        </w:tc>
        <w:tc>
          <w:tcPr>
            <w:tcW w:type="dxa" w:w="7488"/>
            <w:vAlign w:val="top"/>
          </w:tcPr>
          <w:p>
            <w:pPr>
              <w:jc w:val="left"/>
            </w:pPr>
            <w:r/>
            <w:r>
              <w:rPr>
                <w:rFonts w:ascii="Arial" w:hAnsi="Arial"/>
                <w:b w:val="0"/>
                <w:sz w:val="18"/>
              </w:rPr>
              <w:t>Supports editing and review.</w:t>
            </w:r>
          </w:p>
        </w:tc>
      </w:tr>
      <w:tr>
        <w:tc>
          <w:tcPr>
            <w:tcW w:type="dxa" w:w="2304"/>
            <w:vAlign w:val="top"/>
          </w:tcPr>
          <w:p>
            <w:pPr>
              <w:jc w:val="left"/>
            </w:pPr>
            <w:r/>
            <w:r>
              <w:rPr>
                <w:rFonts w:ascii="Arial" w:hAnsi="Arial"/>
                <w:b w:val="0"/>
                <w:sz w:val="18"/>
              </w:rPr>
              <w:t>Audio routing code</w:t>
            </w:r>
          </w:p>
        </w:tc>
        <w:tc>
          <w:tcPr>
            <w:tcW w:type="dxa" w:w="7488"/>
            <w:vAlign w:val="top"/>
          </w:tcPr>
          <w:p>
            <w:pPr>
              <w:jc w:val="left"/>
            </w:pPr>
            <w:r/>
            <w:r>
              <w:rPr>
                <w:rFonts w:ascii="Arial" w:hAnsi="Arial"/>
                <w:b w:val="0"/>
                <w:sz w:val="18"/>
              </w:rPr>
              <w:t>Identifies lav/boom/split/post sync expectations.</w:t>
            </w:r>
          </w:p>
        </w:tc>
      </w:tr>
      <w:tr>
        <w:tc>
          <w:tcPr>
            <w:tcW w:type="dxa" w:w="2304"/>
            <w:vAlign w:val="top"/>
          </w:tcPr>
          <w:p>
            <w:pPr>
              <w:jc w:val="left"/>
            </w:pPr>
            <w:r/>
            <w:r>
              <w:rPr>
                <w:rFonts w:ascii="Arial" w:hAnsi="Arial"/>
                <w:b w:val="0"/>
                <w:sz w:val="18"/>
              </w:rPr>
              <w:t>Status notes</w:t>
            </w:r>
          </w:p>
        </w:tc>
        <w:tc>
          <w:tcPr>
            <w:tcW w:type="dxa" w:w="7488"/>
            <w:vAlign w:val="top"/>
          </w:tcPr>
          <w:p>
            <w:pPr>
              <w:jc w:val="left"/>
            </w:pPr>
            <w:r/>
            <w:r>
              <w:rPr>
                <w:rFonts w:ascii="Arial" w:hAnsi="Arial"/>
                <w:b w:val="0"/>
                <w:sz w:val="18"/>
              </w:rPr>
              <w:t>Circle take, bad focus, bad audio, room noise, playback checked, proxy created.</w:t>
            </w:r>
          </w:p>
        </w:tc>
      </w:tr>
    </w:tbl>
    <w:p/>
    <w:p>
      <w:pPr>
        <w:pStyle w:val="Heading2"/>
      </w:pPr>
      <w:r>
        <w:t>During-Shoot Logging Rule</w:t>
      </w:r>
    </w:p>
    <w:p>
      <w:pPr>
        <w:pStyle w:val="ListBullet"/>
      </w:pPr>
      <w:r>
        <w:rPr>
          <w:rFonts w:ascii="Arial" w:hAnsi="Arial"/>
          <w:sz w:val="18"/>
        </w:rPr>
        <w:t>Log problems when they happen; memory is not a media-management system.</w:t>
      </w:r>
    </w:p>
    <w:p>
      <w:pPr>
        <w:pStyle w:val="ListBullet"/>
      </w:pPr>
      <w:r>
        <w:rPr>
          <w:rFonts w:ascii="Arial" w:hAnsi="Arial"/>
          <w:sz w:val="18"/>
        </w:rPr>
        <w:t>Mark playback-reviewed takes.</w:t>
      </w:r>
    </w:p>
    <w:p>
      <w:pPr>
        <w:pStyle w:val="ListBullet"/>
      </w:pPr>
      <w:r>
        <w:rPr>
          <w:rFonts w:ascii="Arial" w:hAnsi="Arial"/>
          <w:sz w:val="18"/>
        </w:rPr>
        <w:t>Record audio routing notes before post has to guess.</w:t>
      </w:r>
    </w:p>
    <w:p>
      <w:pPr>
        <w:pStyle w:val="ListBullet"/>
      </w:pPr>
      <w:r>
        <w:rPr>
          <w:rFonts w:ascii="Arial" w:hAnsi="Arial"/>
          <w:sz w:val="18"/>
        </w:rPr>
        <w:t>Record backup status before formatting becomes a question.</w:t>
      </w:r>
    </w:p>
    <w:p>
      <w:r>
        <w:br w:type="page"/>
      </w:r>
    </w:p>
    <w:p>
      <w:pPr>
        <w:pStyle w:val="Heading1"/>
      </w:pPr>
      <w:r>
        <w:t>5. Offload Procedure</w:t>
      </w:r>
    </w:p>
    <w:tbl>
      <w:tblPr>
        <w:tblStyle w:val="TableGrid"/>
        <w:tblW w:type="auto" w:w="0"/>
        <w:jc w:val="center"/>
        <w:tblLook w:firstColumn="1" w:firstRow="1" w:lastColumn="0" w:lastRow="0" w:noHBand="0" w:noVBand="1" w:val="04A0"/>
      </w:tblPr>
      <w:tblGrid>
        <w:gridCol w:w="5184"/>
        <w:gridCol w:w="5184"/>
      </w:tblGrid>
      <w:tr>
        <w:tc>
          <w:tcPr>
            <w:tcW w:type="dxa" w:w="2232"/>
            <w:shd w:fill="1F4E79"/>
            <w:vAlign w:val="top"/>
          </w:tcPr>
          <w:p>
            <w:pPr>
              <w:jc w:val="left"/>
            </w:pPr>
            <w:r/>
            <w:r>
              <w:rPr>
                <w:rFonts w:ascii="Arial" w:hAnsi="Arial"/>
                <w:b/>
                <w:color w:val="FFFFFF"/>
                <w:sz w:val="18"/>
              </w:rPr>
              <w:t>Stage</w:t>
            </w:r>
          </w:p>
        </w:tc>
        <w:tc>
          <w:tcPr>
            <w:tcW w:type="dxa" w:w="7560"/>
            <w:shd w:fill="1F4E79"/>
            <w:vAlign w:val="top"/>
          </w:tcPr>
          <w:p>
            <w:pPr>
              <w:jc w:val="left"/>
            </w:pPr>
            <w:r/>
            <w:r>
              <w:rPr>
                <w:rFonts w:ascii="Arial" w:hAnsi="Arial"/>
                <w:b/>
                <w:color w:val="FFFFFF"/>
                <w:sz w:val="18"/>
              </w:rPr>
              <w:t>Action</w:t>
            </w:r>
          </w:p>
        </w:tc>
      </w:tr>
      <w:tr>
        <w:tc>
          <w:tcPr>
            <w:tcW w:type="dxa" w:w="2232"/>
            <w:vAlign w:val="top"/>
          </w:tcPr>
          <w:p>
            <w:pPr>
              <w:jc w:val="left"/>
            </w:pPr>
            <w:r/>
            <w:r>
              <w:rPr>
                <w:rFonts w:ascii="Arial" w:hAnsi="Arial"/>
                <w:b w:val="0"/>
                <w:sz w:val="18"/>
              </w:rPr>
              <w:t>Before copying</w:t>
            </w:r>
          </w:p>
        </w:tc>
        <w:tc>
          <w:tcPr>
            <w:tcW w:type="dxa" w:w="7560"/>
            <w:vAlign w:val="top"/>
          </w:tcPr>
          <w:p>
            <w:pPr>
              <w:jc w:val="left"/>
            </w:pPr>
            <w:r/>
            <w:r>
              <w:rPr>
                <w:rFonts w:ascii="Arial" w:hAnsi="Arial"/>
                <w:b w:val="0"/>
                <w:sz w:val="18"/>
              </w:rPr>
              <w:t>Confirm reel/card ID, source card, destination folder, available space, and backup drive.</w:t>
            </w:r>
          </w:p>
        </w:tc>
      </w:tr>
      <w:tr>
        <w:tc>
          <w:tcPr>
            <w:tcW w:type="dxa" w:w="2232"/>
            <w:vAlign w:val="top"/>
          </w:tcPr>
          <w:p>
            <w:pPr>
              <w:jc w:val="left"/>
            </w:pPr>
            <w:r/>
            <w:r>
              <w:rPr>
                <w:rFonts w:ascii="Arial" w:hAnsi="Arial"/>
                <w:b w:val="0"/>
                <w:sz w:val="18"/>
              </w:rPr>
              <w:t>Copy</w:t>
            </w:r>
          </w:p>
        </w:tc>
        <w:tc>
          <w:tcPr>
            <w:tcW w:type="dxa" w:w="7560"/>
            <w:vAlign w:val="top"/>
          </w:tcPr>
          <w:p>
            <w:pPr>
              <w:jc w:val="left"/>
            </w:pPr>
            <w:r/>
            <w:r>
              <w:rPr>
                <w:rFonts w:ascii="Arial" w:hAnsi="Arial"/>
                <w:b w:val="0"/>
                <w:sz w:val="18"/>
              </w:rPr>
              <w:t>Copy full card folder structure to the reel/offload folder.</w:t>
            </w:r>
          </w:p>
        </w:tc>
      </w:tr>
      <w:tr>
        <w:tc>
          <w:tcPr>
            <w:tcW w:type="dxa" w:w="2232"/>
            <w:vAlign w:val="top"/>
          </w:tcPr>
          <w:p>
            <w:pPr>
              <w:jc w:val="left"/>
            </w:pPr>
            <w:r/>
            <w:r>
              <w:rPr>
                <w:rFonts w:ascii="Arial" w:hAnsi="Arial"/>
                <w:b w:val="0"/>
                <w:sz w:val="18"/>
              </w:rPr>
              <w:t>Do not alter originals</w:t>
            </w:r>
          </w:p>
        </w:tc>
        <w:tc>
          <w:tcPr>
            <w:tcW w:type="dxa" w:w="7560"/>
            <w:vAlign w:val="top"/>
          </w:tcPr>
          <w:p>
            <w:pPr>
              <w:jc w:val="left"/>
            </w:pPr>
            <w:r/>
            <w:r>
              <w:rPr>
                <w:rFonts w:ascii="Arial" w:hAnsi="Arial"/>
                <w:b w:val="0"/>
                <w:sz w:val="18"/>
              </w:rPr>
              <w:t>Do not rename, trim, flatten, or reorganize the camera-original folder.</w:t>
            </w:r>
          </w:p>
        </w:tc>
      </w:tr>
      <w:tr>
        <w:tc>
          <w:tcPr>
            <w:tcW w:type="dxa" w:w="2232"/>
            <w:vAlign w:val="top"/>
          </w:tcPr>
          <w:p>
            <w:pPr>
              <w:jc w:val="left"/>
            </w:pPr>
            <w:r/>
            <w:r>
              <w:rPr>
                <w:rFonts w:ascii="Arial" w:hAnsi="Arial"/>
                <w:b w:val="0"/>
                <w:sz w:val="18"/>
              </w:rPr>
              <w:t>Audio originals</w:t>
            </w:r>
          </w:p>
        </w:tc>
        <w:tc>
          <w:tcPr>
            <w:tcW w:type="dxa" w:w="7560"/>
            <w:vAlign w:val="top"/>
          </w:tcPr>
          <w:p>
            <w:pPr>
              <w:jc w:val="left"/>
            </w:pPr>
            <w:r/>
            <w:r>
              <w:rPr>
                <w:rFonts w:ascii="Arial" w:hAnsi="Arial"/>
                <w:b w:val="0"/>
                <w:sz w:val="18"/>
              </w:rPr>
              <w:t>Copy RØDE onboard, Tascam/boom, or external recorder files into audio-originals folder with matching date/reel notes.</w:t>
            </w:r>
          </w:p>
        </w:tc>
      </w:tr>
      <w:tr>
        <w:tc>
          <w:tcPr>
            <w:tcW w:type="dxa" w:w="2232"/>
            <w:vAlign w:val="top"/>
          </w:tcPr>
          <w:p>
            <w:pPr>
              <w:jc w:val="left"/>
            </w:pPr>
            <w:r/>
            <w:r>
              <w:rPr>
                <w:rFonts w:ascii="Arial" w:hAnsi="Arial"/>
                <w:b w:val="0"/>
                <w:sz w:val="18"/>
              </w:rPr>
              <w:t>Log</w:t>
            </w:r>
          </w:p>
        </w:tc>
        <w:tc>
          <w:tcPr>
            <w:tcW w:type="dxa" w:w="7560"/>
            <w:vAlign w:val="top"/>
          </w:tcPr>
          <w:p>
            <w:pPr>
              <w:jc w:val="left"/>
            </w:pPr>
            <w:r/>
            <w:r>
              <w:rPr>
                <w:rFonts w:ascii="Arial" w:hAnsi="Arial"/>
                <w:b w:val="0"/>
                <w:sz w:val="18"/>
              </w:rPr>
              <w:t>Record source card, destination, copy time, clip range, and operator notes.</w:t>
            </w:r>
          </w:p>
        </w:tc>
      </w:tr>
      <w:tr>
        <w:tc>
          <w:tcPr>
            <w:tcW w:type="dxa" w:w="2232"/>
            <w:vAlign w:val="top"/>
          </w:tcPr>
          <w:p>
            <w:pPr>
              <w:jc w:val="left"/>
            </w:pPr>
            <w:r/>
            <w:r>
              <w:rPr>
                <w:rFonts w:ascii="Arial" w:hAnsi="Arial"/>
                <w:b w:val="0"/>
                <w:sz w:val="18"/>
              </w:rPr>
              <w:t>Second backup</w:t>
            </w:r>
          </w:p>
        </w:tc>
        <w:tc>
          <w:tcPr>
            <w:tcW w:type="dxa" w:w="7560"/>
            <w:vAlign w:val="top"/>
          </w:tcPr>
          <w:p>
            <w:pPr>
              <w:jc w:val="left"/>
            </w:pPr>
            <w:r/>
            <w:r>
              <w:rPr>
                <w:rFonts w:ascii="Arial" w:hAnsi="Arial"/>
                <w:b w:val="0"/>
                <w:sz w:val="18"/>
              </w:rPr>
              <w:t>Duplicate to independent backup before media is considered safe.</w:t>
            </w:r>
          </w:p>
        </w:tc>
      </w:tr>
    </w:tbl>
    <w:p/>
    <w:tbl>
      <w:tblPr>
        <w:tblW w:type="auto" w:w="0"/>
        <w:jc w:val="center"/>
        <w:tblLook w:firstColumn="1" w:firstRow="1" w:lastColumn="0" w:lastRow="0" w:noHBand="0" w:noVBand="1" w:val="04A0"/>
      </w:tblPr>
      <w:tblGrid>
        <w:gridCol w:w="10368"/>
      </w:tblGrid>
      <w:tr>
        <w:tc>
          <w:tcPr>
            <w:tcW w:type="dxa" w:w="10368"/>
            <w:shd w:fill="E2F0D9"/>
          </w:tcPr>
          <w:p>
            <w:r>
              <w:rPr>
                <w:rFonts w:ascii="Arial" w:hAnsi="Arial"/>
                <w:b/>
                <w:sz w:val="19"/>
              </w:rPr>
              <w:t xml:space="preserve">Offload rule: </w:t>
            </w:r>
            <w:r>
              <w:rPr>
                <w:rFonts w:ascii="Arial" w:hAnsi="Arial"/>
                <w:sz w:val="19"/>
              </w:rPr>
              <w:t>Copy full card. Verify. Make second backup. Log. Format only after confirmation.</w:t>
            </w:r>
          </w:p>
        </w:tc>
      </w:tr>
    </w:tbl>
    <w:p/>
    <w:p>
      <w:r>
        <w:br w:type="page"/>
      </w:r>
    </w:p>
    <w:p>
      <w:pPr>
        <w:pStyle w:val="Heading1"/>
      </w:pPr>
      <w:r>
        <w:t>6. Verify Before Format</w:t>
      </w:r>
    </w:p>
    <w:tbl>
      <w:tblPr>
        <w:tblStyle w:val="TableGrid"/>
        <w:tblW w:type="auto" w:w="0"/>
        <w:jc w:val="center"/>
        <w:tblLook w:firstColumn="1" w:firstRow="1" w:lastColumn="0" w:lastRow="0" w:noHBand="0" w:noVBand="1" w:val="04A0"/>
      </w:tblPr>
      <w:tblGrid>
        <w:gridCol w:w="5184"/>
        <w:gridCol w:w="5184"/>
      </w:tblGrid>
      <w:tr>
        <w:tc>
          <w:tcPr>
            <w:tcW w:type="dxa" w:w="2880"/>
            <w:shd w:fill="1F4E79"/>
            <w:vAlign w:val="top"/>
          </w:tcPr>
          <w:p>
            <w:pPr>
              <w:jc w:val="left"/>
            </w:pPr>
            <w:r/>
            <w:r>
              <w:rPr>
                <w:rFonts w:ascii="Arial" w:hAnsi="Arial"/>
                <w:b/>
                <w:color w:val="FFFFFF"/>
                <w:sz w:val="18"/>
              </w:rPr>
              <w:t>Verification item</w:t>
            </w:r>
          </w:p>
        </w:tc>
        <w:tc>
          <w:tcPr>
            <w:tcW w:type="dxa" w:w="6912"/>
            <w:shd w:fill="1F4E79"/>
            <w:vAlign w:val="top"/>
          </w:tcPr>
          <w:p>
            <w:pPr>
              <w:jc w:val="left"/>
            </w:pPr>
            <w:r/>
            <w:r>
              <w:rPr>
                <w:rFonts w:ascii="Arial" w:hAnsi="Arial"/>
                <w:b/>
                <w:color w:val="FFFFFF"/>
                <w:sz w:val="18"/>
              </w:rPr>
              <w:t>Pass condition</w:t>
            </w:r>
          </w:p>
        </w:tc>
      </w:tr>
      <w:tr>
        <w:tc>
          <w:tcPr>
            <w:tcW w:type="dxa" w:w="2880"/>
            <w:vAlign w:val="top"/>
          </w:tcPr>
          <w:p>
            <w:pPr>
              <w:jc w:val="left"/>
            </w:pPr>
            <w:r/>
            <w:r>
              <w:rPr>
                <w:rFonts w:ascii="Arial" w:hAnsi="Arial"/>
                <w:b w:val="0"/>
                <w:sz w:val="18"/>
              </w:rPr>
              <w:t>Full-card structure</w:t>
            </w:r>
          </w:p>
        </w:tc>
        <w:tc>
          <w:tcPr>
            <w:tcW w:type="dxa" w:w="6912"/>
            <w:vAlign w:val="top"/>
          </w:tcPr>
          <w:p>
            <w:pPr>
              <w:jc w:val="left"/>
            </w:pPr>
            <w:r/>
            <w:r>
              <w:rPr>
                <w:rFonts w:ascii="Arial" w:hAnsi="Arial"/>
                <w:b w:val="0"/>
                <w:sz w:val="18"/>
              </w:rPr>
              <w:t>Expected folders are present; copy is not a flat pile of clips.</w:t>
            </w:r>
          </w:p>
        </w:tc>
      </w:tr>
      <w:tr>
        <w:tc>
          <w:tcPr>
            <w:tcW w:type="dxa" w:w="2880"/>
            <w:vAlign w:val="top"/>
          </w:tcPr>
          <w:p>
            <w:pPr>
              <w:jc w:val="left"/>
            </w:pPr>
            <w:r/>
            <w:r>
              <w:rPr>
                <w:rFonts w:ascii="Arial" w:hAnsi="Arial"/>
                <w:b w:val="0"/>
                <w:sz w:val="18"/>
              </w:rPr>
              <w:t>Clip count / size</w:t>
            </w:r>
          </w:p>
        </w:tc>
        <w:tc>
          <w:tcPr>
            <w:tcW w:type="dxa" w:w="6912"/>
            <w:vAlign w:val="top"/>
          </w:tcPr>
          <w:p>
            <w:pPr>
              <w:jc w:val="left"/>
            </w:pPr>
            <w:r/>
            <w:r>
              <w:rPr>
                <w:rFonts w:ascii="Arial" w:hAnsi="Arial"/>
                <w:b w:val="0"/>
                <w:sz w:val="18"/>
              </w:rPr>
              <w:t>Copied content is plausibly complete against card contents.</w:t>
            </w:r>
          </w:p>
        </w:tc>
      </w:tr>
      <w:tr>
        <w:tc>
          <w:tcPr>
            <w:tcW w:type="dxa" w:w="2880"/>
            <w:vAlign w:val="top"/>
          </w:tcPr>
          <w:p>
            <w:pPr>
              <w:jc w:val="left"/>
            </w:pPr>
            <w:r/>
            <w:r>
              <w:rPr>
                <w:rFonts w:ascii="Arial" w:hAnsi="Arial"/>
                <w:b w:val="0"/>
                <w:sz w:val="18"/>
              </w:rPr>
              <w:t>Playback sample</w:t>
            </w:r>
          </w:p>
        </w:tc>
        <w:tc>
          <w:tcPr>
            <w:tcW w:type="dxa" w:w="6912"/>
            <w:vAlign w:val="top"/>
          </w:tcPr>
          <w:p>
            <w:pPr>
              <w:jc w:val="left"/>
            </w:pPr>
            <w:r/>
            <w:r>
              <w:rPr>
                <w:rFonts w:ascii="Arial" w:hAnsi="Arial"/>
                <w:b w:val="0"/>
                <w:sz w:val="18"/>
              </w:rPr>
              <w:t>At least representative clips open and play.</w:t>
            </w:r>
          </w:p>
        </w:tc>
      </w:tr>
      <w:tr>
        <w:tc>
          <w:tcPr>
            <w:tcW w:type="dxa" w:w="2880"/>
            <w:vAlign w:val="top"/>
          </w:tcPr>
          <w:p>
            <w:pPr>
              <w:jc w:val="left"/>
            </w:pPr>
            <w:r/>
            <w:r>
              <w:rPr>
                <w:rFonts w:ascii="Arial" w:hAnsi="Arial"/>
                <w:b w:val="0"/>
                <w:sz w:val="18"/>
              </w:rPr>
              <w:t>Audio linkage</w:t>
            </w:r>
          </w:p>
        </w:tc>
        <w:tc>
          <w:tcPr>
            <w:tcW w:type="dxa" w:w="6912"/>
            <w:vAlign w:val="top"/>
          </w:tcPr>
          <w:p>
            <w:pPr>
              <w:jc w:val="left"/>
            </w:pPr>
            <w:r/>
            <w:r>
              <w:rPr>
                <w:rFonts w:ascii="Arial" w:hAnsi="Arial"/>
                <w:b w:val="0"/>
                <w:sz w:val="18"/>
              </w:rPr>
              <w:t>Audio originals copied and identified if separate from camera.</w:t>
            </w:r>
          </w:p>
        </w:tc>
      </w:tr>
      <w:tr>
        <w:tc>
          <w:tcPr>
            <w:tcW w:type="dxa" w:w="2880"/>
            <w:vAlign w:val="top"/>
          </w:tcPr>
          <w:p>
            <w:pPr>
              <w:jc w:val="left"/>
            </w:pPr>
            <w:r/>
            <w:r>
              <w:rPr>
                <w:rFonts w:ascii="Arial" w:hAnsi="Arial"/>
                <w:b w:val="0"/>
                <w:sz w:val="18"/>
              </w:rPr>
              <w:t>Backup 1</w:t>
            </w:r>
          </w:p>
        </w:tc>
        <w:tc>
          <w:tcPr>
            <w:tcW w:type="dxa" w:w="6912"/>
            <w:vAlign w:val="top"/>
          </w:tcPr>
          <w:p>
            <w:pPr>
              <w:jc w:val="left"/>
            </w:pPr>
            <w:r/>
            <w:r>
              <w:rPr>
                <w:rFonts w:ascii="Arial" w:hAnsi="Arial"/>
                <w:b w:val="0"/>
                <w:sz w:val="18"/>
              </w:rPr>
              <w:t>Primary offload complete.</w:t>
            </w:r>
          </w:p>
        </w:tc>
      </w:tr>
      <w:tr>
        <w:tc>
          <w:tcPr>
            <w:tcW w:type="dxa" w:w="2880"/>
            <w:vAlign w:val="top"/>
          </w:tcPr>
          <w:p>
            <w:pPr>
              <w:jc w:val="left"/>
            </w:pPr>
            <w:r/>
            <w:r>
              <w:rPr>
                <w:rFonts w:ascii="Arial" w:hAnsi="Arial"/>
                <w:b w:val="0"/>
                <w:sz w:val="18"/>
              </w:rPr>
              <w:t>Backup 2</w:t>
            </w:r>
          </w:p>
        </w:tc>
        <w:tc>
          <w:tcPr>
            <w:tcW w:type="dxa" w:w="6912"/>
            <w:vAlign w:val="top"/>
          </w:tcPr>
          <w:p>
            <w:pPr>
              <w:jc w:val="left"/>
            </w:pPr>
            <w:r/>
            <w:r>
              <w:rPr>
                <w:rFonts w:ascii="Arial" w:hAnsi="Arial"/>
                <w:b w:val="0"/>
                <w:sz w:val="18"/>
              </w:rPr>
              <w:t>Second independent copy complete.</w:t>
            </w:r>
          </w:p>
        </w:tc>
      </w:tr>
      <w:tr>
        <w:tc>
          <w:tcPr>
            <w:tcW w:type="dxa" w:w="2880"/>
            <w:vAlign w:val="top"/>
          </w:tcPr>
          <w:p>
            <w:pPr>
              <w:jc w:val="left"/>
            </w:pPr>
            <w:r/>
            <w:r>
              <w:rPr>
                <w:rFonts w:ascii="Arial" w:hAnsi="Arial"/>
                <w:b w:val="0"/>
                <w:sz w:val="18"/>
              </w:rPr>
              <w:t>Log</w:t>
            </w:r>
          </w:p>
        </w:tc>
        <w:tc>
          <w:tcPr>
            <w:tcW w:type="dxa" w:w="6912"/>
            <w:vAlign w:val="top"/>
          </w:tcPr>
          <w:p>
            <w:pPr>
              <w:jc w:val="left"/>
            </w:pPr>
            <w:r/>
            <w:r>
              <w:rPr>
                <w:rFonts w:ascii="Arial" w:hAnsi="Arial"/>
                <w:b w:val="0"/>
                <w:sz w:val="18"/>
              </w:rPr>
              <w:t>Reel/card/clip/backup status recorded.</w:t>
            </w:r>
          </w:p>
        </w:tc>
      </w:tr>
      <w:tr>
        <w:tc>
          <w:tcPr>
            <w:tcW w:type="dxa" w:w="2880"/>
            <w:vAlign w:val="top"/>
          </w:tcPr>
          <w:p>
            <w:pPr>
              <w:jc w:val="left"/>
            </w:pPr>
            <w:r/>
            <w:r>
              <w:rPr>
                <w:rFonts w:ascii="Arial" w:hAnsi="Arial"/>
                <w:b w:val="0"/>
                <w:sz w:val="18"/>
              </w:rPr>
              <w:t>Format decision</w:t>
            </w:r>
          </w:p>
        </w:tc>
        <w:tc>
          <w:tcPr>
            <w:tcW w:type="dxa" w:w="6912"/>
            <w:vAlign w:val="top"/>
          </w:tcPr>
          <w:p>
            <w:pPr>
              <w:jc w:val="left"/>
            </w:pPr>
            <w:r/>
            <w:r>
              <w:rPr>
                <w:rFonts w:ascii="Arial" w:hAnsi="Arial"/>
                <w:b w:val="0"/>
                <w:sz w:val="18"/>
              </w:rPr>
              <w:t>Only after backup status is complete and verified.</w:t>
            </w:r>
          </w:p>
        </w:tc>
      </w:tr>
    </w:tbl>
    <w:p/>
    <w:p>
      <w:pPr>
        <w:pStyle w:val="Heading2"/>
      </w:pPr>
      <w:r>
        <w:t>Format Stop Test</w:t>
      </w:r>
    </w:p>
    <w:p>
      <w:pPr>
        <w:pStyle w:val="ListBullet"/>
      </w:pPr>
      <w:r>
        <w:rPr>
          <w:rFonts w:ascii="Arial" w:hAnsi="Arial"/>
          <w:sz w:val="18"/>
        </w:rPr>
        <w:t>Do you have at least two copies?</w:t>
      </w:r>
    </w:p>
    <w:p>
      <w:pPr>
        <w:pStyle w:val="ListBullet"/>
      </w:pPr>
      <w:r>
        <w:rPr>
          <w:rFonts w:ascii="Arial" w:hAnsi="Arial"/>
          <w:sz w:val="18"/>
        </w:rPr>
        <w:t>Do both copies preserve full-card structure?</w:t>
      </w:r>
    </w:p>
    <w:p>
      <w:pPr>
        <w:pStyle w:val="ListBullet"/>
      </w:pPr>
      <w:r>
        <w:rPr>
          <w:rFonts w:ascii="Arial" w:hAnsi="Arial"/>
          <w:sz w:val="18"/>
        </w:rPr>
        <w:t>Can you identify which physical card and reel they came from?</w:t>
      </w:r>
    </w:p>
    <w:p>
      <w:pPr>
        <w:pStyle w:val="ListBullet"/>
      </w:pPr>
      <w:r>
        <w:rPr>
          <w:rFonts w:ascii="Arial" w:hAnsi="Arial"/>
          <w:sz w:val="18"/>
        </w:rPr>
        <w:t>Are audio originals accounted for?</w:t>
      </w:r>
    </w:p>
    <w:p>
      <w:pPr>
        <w:pStyle w:val="ListBullet"/>
      </w:pPr>
      <w:r>
        <w:rPr>
          <w:rFonts w:ascii="Arial" w:hAnsi="Arial"/>
          <w:sz w:val="18"/>
        </w:rPr>
        <w:t>Is backup status recorded?</w:t>
      </w:r>
    </w:p>
    <w:p>
      <w:pPr>
        <w:pStyle w:val="ListBullet"/>
      </w:pPr>
      <w:r>
        <w:rPr>
          <w:rFonts w:ascii="Arial" w:hAnsi="Arial"/>
          <w:sz w:val="18"/>
        </w:rPr>
        <w:t>Can you afford to lose the card now? If not, do not format.</w:t>
      </w:r>
    </w:p>
    <w:p>
      <w:r>
        <w:br w:type="page"/>
      </w:r>
    </w:p>
    <w:p>
      <w:pPr>
        <w:pStyle w:val="Heading1"/>
      </w:pPr>
      <w:r>
        <w:t>7. Folder Structure</w:t>
      </w:r>
    </w:p>
    <w:p>
      <w:r>
        <w:rPr>
          <w:rFonts w:ascii="Arial" w:hAnsi="Arial"/>
          <w:b w:val="0"/>
          <w:i w:val="0"/>
          <w:sz w:val="20"/>
        </w:rPr>
        <w:t>Use a structure that separates camera originals from backups, audio originals, proxies/cache, project files, exports, logs, and settings notes. The exact folder names can vary, but the categories should not be mixed.</w:t>
      </w:r>
    </w:p>
    <w:tbl>
      <w:tblPr>
        <w:tblStyle w:val="TableGrid"/>
        <w:tblW w:type="auto" w:w="0"/>
        <w:jc w:val="center"/>
        <w:tblLook w:firstColumn="1" w:firstRow="1" w:lastColumn="0" w:lastRow="0" w:noHBand="0" w:noVBand="1" w:val="04A0"/>
      </w:tblPr>
      <w:tblGrid>
        <w:gridCol w:w="5184"/>
        <w:gridCol w:w="5184"/>
      </w:tblGrid>
      <w:tr>
        <w:tc>
          <w:tcPr>
            <w:tcW w:type="dxa" w:w="3384"/>
            <w:shd w:fill="1F4E79"/>
            <w:vAlign w:val="top"/>
          </w:tcPr>
          <w:p>
            <w:pPr>
              <w:jc w:val="left"/>
            </w:pPr>
            <w:r/>
            <w:r>
              <w:rPr>
                <w:rFonts w:ascii="Arial" w:hAnsi="Arial"/>
                <w:b/>
                <w:color w:val="FFFFFF"/>
                <w:sz w:val="18"/>
              </w:rPr>
              <w:t>Folder</w:t>
            </w:r>
          </w:p>
        </w:tc>
        <w:tc>
          <w:tcPr>
            <w:tcW w:type="dxa" w:w="6408"/>
            <w:shd w:fill="1F4E79"/>
            <w:vAlign w:val="top"/>
          </w:tcPr>
          <w:p>
            <w:pPr>
              <w:jc w:val="left"/>
            </w:pPr>
            <w:r/>
            <w:r>
              <w:rPr>
                <w:rFonts w:ascii="Arial" w:hAnsi="Arial"/>
                <w:b/>
                <w:color w:val="FFFFFF"/>
                <w:sz w:val="18"/>
              </w:rPr>
              <w:t>Purpose</w:t>
            </w:r>
          </w:p>
        </w:tc>
      </w:tr>
      <w:tr>
        <w:tc>
          <w:tcPr>
            <w:tcW w:type="dxa" w:w="3384"/>
            <w:vAlign w:val="top"/>
          </w:tcPr>
          <w:p>
            <w:pPr>
              <w:jc w:val="left"/>
            </w:pPr>
            <w:r/>
            <w:r>
              <w:rPr>
                <w:rFonts w:ascii="Arial" w:hAnsi="Arial"/>
                <w:b w:val="0"/>
                <w:sz w:val="18"/>
              </w:rPr>
              <w:t>01_CAMERA_ORIGINALS</w:t>
            </w:r>
          </w:p>
        </w:tc>
        <w:tc>
          <w:tcPr>
            <w:tcW w:type="dxa" w:w="6408"/>
            <w:vAlign w:val="top"/>
          </w:tcPr>
          <w:p>
            <w:pPr>
              <w:jc w:val="left"/>
            </w:pPr>
            <w:r/>
            <w:r>
              <w:rPr>
                <w:rFonts w:ascii="Arial" w:hAnsi="Arial"/>
                <w:b w:val="0"/>
                <w:sz w:val="18"/>
              </w:rPr>
              <w:t>Full card structures, organized by reel/offload ID.</w:t>
            </w:r>
          </w:p>
        </w:tc>
      </w:tr>
      <w:tr>
        <w:tc>
          <w:tcPr>
            <w:tcW w:type="dxa" w:w="3384"/>
            <w:vAlign w:val="top"/>
          </w:tcPr>
          <w:p>
            <w:pPr>
              <w:jc w:val="left"/>
            </w:pPr>
            <w:r/>
            <w:r>
              <w:rPr>
                <w:rFonts w:ascii="Arial" w:hAnsi="Arial"/>
                <w:b w:val="0"/>
                <w:sz w:val="18"/>
              </w:rPr>
              <w:t>02_AUDIO_ORIGINALS</w:t>
            </w:r>
          </w:p>
        </w:tc>
        <w:tc>
          <w:tcPr>
            <w:tcW w:type="dxa" w:w="6408"/>
            <w:vAlign w:val="top"/>
          </w:tcPr>
          <w:p>
            <w:pPr>
              <w:jc w:val="left"/>
            </w:pPr>
            <w:r/>
            <w:r>
              <w:rPr>
                <w:rFonts w:ascii="Arial" w:hAnsi="Arial"/>
                <w:b w:val="0"/>
                <w:sz w:val="18"/>
              </w:rPr>
              <w:t>RØDE onboard recordings, boom recorder files, room tone, external recorder files.</w:t>
            </w:r>
          </w:p>
        </w:tc>
      </w:tr>
      <w:tr>
        <w:tc>
          <w:tcPr>
            <w:tcW w:type="dxa" w:w="3384"/>
            <w:vAlign w:val="top"/>
          </w:tcPr>
          <w:p>
            <w:pPr>
              <w:jc w:val="left"/>
            </w:pPr>
            <w:r/>
            <w:r>
              <w:rPr>
                <w:rFonts w:ascii="Arial" w:hAnsi="Arial"/>
                <w:b w:val="0"/>
                <w:sz w:val="18"/>
              </w:rPr>
              <w:t>03_PROJECT_FILES</w:t>
            </w:r>
          </w:p>
        </w:tc>
        <w:tc>
          <w:tcPr>
            <w:tcW w:type="dxa" w:w="6408"/>
            <w:vAlign w:val="top"/>
          </w:tcPr>
          <w:p>
            <w:pPr>
              <w:jc w:val="left"/>
            </w:pPr>
            <w:r/>
            <w:r>
              <w:rPr>
                <w:rFonts w:ascii="Arial" w:hAnsi="Arial"/>
                <w:b w:val="0"/>
                <w:sz w:val="18"/>
              </w:rPr>
              <w:t>Resolve/Premiere project files and project backups.</w:t>
            </w:r>
          </w:p>
        </w:tc>
      </w:tr>
      <w:tr>
        <w:tc>
          <w:tcPr>
            <w:tcW w:type="dxa" w:w="3384"/>
            <w:vAlign w:val="top"/>
          </w:tcPr>
          <w:p>
            <w:pPr>
              <w:jc w:val="left"/>
            </w:pPr>
            <w:r/>
            <w:r>
              <w:rPr>
                <w:rFonts w:ascii="Arial" w:hAnsi="Arial"/>
                <w:b w:val="0"/>
                <w:sz w:val="18"/>
              </w:rPr>
              <w:t>04_PROXIES_CACHE</w:t>
            </w:r>
          </w:p>
        </w:tc>
        <w:tc>
          <w:tcPr>
            <w:tcW w:type="dxa" w:w="6408"/>
            <w:vAlign w:val="top"/>
          </w:tcPr>
          <w:p>
            <w:pPr>
              <w:jc w:val="left"/>
            </w:pPr>
            <w:r/>
            <w:r>
              <w:rPr>
                <w:rFonts w:ascii="Arial" w:hAnsi="Arial"/>
                <w:b w:val="0"/>
                <w:sz w:val="18"/>
              </w:rPr>
              <w:t>Proxy/transcode/cache files if retained.</w:t>
            </w:r>
          </w:p>
        </w:tc>
      </w:tr>
      <w:tr>
        <w:tc>
          <w:tcPr>
            <w:tcW w:type="dxa" w:w="3384"/>
            <w:vAlign w:val="top"/>
          </w:tcPr>
          <w:p>
            <w:pPr>
              <w:jc w:val="left"/>
            </w:pPr>
            <w:r/>
            <w:r>
              <w:rPr>
                <w:rFonts w:ascii="Arial" w:hAnsi="Arial"/>
                <w:b w:val="0"/>
                <w:sz w:val="18"/>
              </w:rPr>
              <w:t>05_EXPORTS_REVIEW</w:t>
            </w:r>
          </w:p>
        </w:tc>
        <w:tc>
          <w:tcPr>
            <w:tcW w:type="dxa" w:w="6408"/>
            <w:vAlign w:val="top"/>
          </w:tcPr>
          <w:p>
            <w:pPr>
              <w:jc w:val="left"/>
            </w:pPr>
            <w:r/>
            <w:r>
              <w:rPr>
                <w:rFonts w:ascii="Arial" w:hAnsi="Arial"/>
                <w:b w:val="0"/>
                <w:sz w:val="18"/>
              </w:rPr>
              <w:t>Review exports separate from final exports.</w:t>
            </w:r>
          </w:p>
        </w:tc>
      </w:tr>
      <w:tr>
        <w:tc>
          <w:tcPr>
            <w:tcW w:type="dxa" w:w="3384"/>
            <w:vAlign w:val="top"/>
          </w:tcPr>
          <w:p>
            <w:pPr>
              <w:jc w:val="left"/>
            </w:pPr>
            <w:r/>
            <w:r>
              <w:rPr>
                <w:rFonts w:ascii="Arial" w:hAnsi="Arial"/>
                <w:b w:val="0"/>
                <w:sz w:val="18"/>
              </w:rPr>
              <w:t>06_EXPORTS_FINAL</w:t>
            </w:r>
          </w:p>
        </w:tc>
        <w:tc>
          <w:tcPr>
            <w:tcW w:type="dxa" w:w="6408"/>
            <w:vAlign w:val="top"/>
          </w:tcPr>
          <w:p>
            <w:pPr>
              <w:jc w:val="left"/>
            </w:pPr>
            <w:r/>
            <w:r>
              <w:rPr>
                <w:rFonts w:ascii="Arial" w:hAnsi="Arial"/>
                <w:b w:val="0"/>
                <w:sz w:val="18"/>
              </w:rPr>
              <w:t>Final deliverables.</w:t>
            </w:r>
          </w:p>
        </w:tc>
      </w:tr>
      <w:tr>
        <w:tc>
          <w:tcPr>
            <w:tcW w:type="dxa" w:w="3384"/>
            <w:vAlign w:val="top"/>
          </w:tcPr>
          <w:p>
            <w:pPr>
              <w:jc w:val="left"/>
            </w:pPr>
            <w:r/>
            <w:r>
              <w:rPr>
                <w:rFonts w:ascii="Arial" w:hAnsi="Arial"/>
                <w:b w:val="0"/>
                <w:sz w:val="18"/>
              </w:rPr>
              <w:t>07_LOGS_NOTES</w:t>
            </w:r>
          </w:p>
        </w:tc>
        <w:tc>
          <w:tcPr>
            <w:tcW w:type="dxa" w:w="6408"/>
            <w:vAlign w:val="top"/>
          </w:tcPr>
          <w:p>
            <w:pPr>
              <w:jc w:val="left"/>
            </w:pPr>
            <w:r/>
            <w:r>
              <w:rPr>
                <w:rFonts w:ascii="Arial" w:hAnsi="Arial"/>
                <w:b w:val="0"/>
                <w:sz w:val="18"/>
              </w:rPr>
              <w:t>Excel/Word/paper log scans, slate notes, continuity notes.</w:t>
            </w:r>
          </w:p>
        </w:tc>
      </w:tr>
      <w:tr>
        <w:tc>
          <w:tcPr>
            <w:tcW w:type="dxa" w:w="3384"/>
            <w:vAlign w:val="top"/>
          </w:tcPr>
          <w:p>
            <w:pPr>
              <w:jc w:val="left"/>
            </w:pPr>
            <w:r/>
            <w:r>
              <w:rPr>
                <w:rFonts w:ascii="Arial" w:hAnsi="Arial"/>
                <w:b w:val="0"/>
                <w:sz w:val="18"/>
              </w:rPr>
              <w:t>08_SETTINGS_LUTS</w:t>
            </w:r>
          </w:p>
        </w:tc>
        <w:tc>
          <w:tcPr>
            <w:tcW w:type="dxa" w:w="6408"/>
            <w:vAlign w:val="top"/>
          </w:tcPr>
          <w:p>
            <w:pPr>
              <w:jc w:val="left"/>
            </w:pPr>
            <w:r/>
            <w:r>
              <w:rPr>
                <w:rFonts w:ascii="Arial" w:hAnsi="Arial"/>
                <w:b w:val="0"/>
                <w:sz w:val="18"/>
              </w:rPr>
              <w:t>ALL/User/Scene files, LUTs, settings notes.</w:t>
            </w:r>
          </w:p>
        </w:tc>
      </w:tr>
      <w:tr>
        <w:tc>
          <w:tcPr>
            <w:tcW w:type="dxa" w:w="3384"/>
            <w:vAlign w:val="top"/>
          </w:tcPr>
          <w:p>
            <w:pPr>
              <w:jc w:val="left"/>
            </w:pPr>
            <w:r/>
            <w:r>
              <w:rPr>
                <w:rFonts w:ascii="Arial" w:hAnsi="Arial"/>
                <w:b w:val="0"/>
                <w:sz w:val="18"/>
              </w:rPr>
              <w:t>09_ARCHIVE_MANIFEST</w:t>
            </w:r>
          </w:p>
        </w:tc>
        <w:tc>
          <w:tcPr>
            <w:tcW w:type="dxa" w:w="6408"/>
            <w:vAlign w:val="top"/>
          </w:tcPr>
          <w:p>
            <w:pPr>
              <w:jc w:val="left"/>
            </w:pPr>
            <w:r/>
            <w:r>
              <w:rPr>
                <w:rFonts w:ascii="Arial" w:hAnsi="Arial"/>
                <w:b w:val="0"/>
                <w:sz w:val="18"/>
              </w:rPr>
              <w:t>Final archive inventory and verification notes.</w:t>
            </w:r>
          </w:p>
        </w:tc>
      </w:tr>
    </w:tbl>
    <w:p/>
    <w:p>
      <w:r>
        <w:br w:type="page"/>
      </w:r>
    </w:p>
    <w:p>
      <w:pPr>
        <w:pStyle w:val="Heading1"/>
      </w:pPr>
      <w:r>
        <w:t>8. Resolve / Premiere Import</w:t>
      </w:r>
    </w:p>
    <w:tbl>
      <w:tblPr>
        <w:tblStyle w:val="TableGrid"/>
        <w:tblW w:type="auto" w:w="0"/>
        <w:jc w:val="center"/>
        <w:tblLook w:firstColumn="1" w:firstRow="1" w:lastColumn="0" w:lastRow="0" w:noHBand="0" w:noVBand="1" w:val="04A0"/>
      </w:tblPr>
      <w:tblGrid>
        <w:gridCol w:w="5184"/>
        <w:gridCol w:w="5184"/>
      </w:tblGrid>
      <w:tr>
        <w:tc>
          <w:tcPr>
            <w:tcW w:type="dxa" w:w="2448"/>
            <w:shd w:fill="1F4E79"/>
            <w:vAlign w:val="top"/>
          </w:tcPr>
          <w:p>
            <w:pPr>
              <w:jc w:val="left"/>
            </w:pPr>
            <w:r/>
            <w:r>
              <w:rPr>
                <w:rFonts w:ascii="Arial" w:hAnsi="Arial"/>
                <w:b/>
                <w:color w:val="FFFFFF"/>
                <w:sz w:val="18"/>
              </w:rPr>
              <w:t>Task</w:t>
            </w:r>
          </w:p>
        </w:tc>
        <w:tc>
          <w:tcPr>
            <w:tcW w:type="dxa" w:w="7344"/>
            <w:shd w:fill="1F4E79"/>
            <w:vAlign w:val="top"/>
          </w:tcPr>
          <w:p>
            <w:pPr>
              <w:jc w:val="left"/>
            </w:pPr>
            <w:r/>
            <w:r>
              <w:rPr>
                <w:rFonts w:ascii="Arial" w:hAnsi="Arial"/>
                <w:b/>
                <w:color w:val="FFFFFF"/>
                <w:sz w:val="18"/>
              </w:rPr>
              <w:t>Rule</w:t>
            </w:r>
          </w:p>
        </w:tc>
      </w:tr>
      <w:tr>
        <w:tc>
          <w:tcPr>
            <w:tcW w:type="dxa" w:w="2448"/>
            <w:vAlign w:val="top"/>
          </w:tcPr>
          <w:p>
            <w:pPr>
              <w:jc w:val="left"/>
            </w:pPr>
            <w:r/>
            <w:r>
              <w:rPr>
                <w:rFonts w:ascii="Arial" w:hAnsi="Arial"/>
                <w:b w:val="0"/>
                <w:sz w:val="18"/>
              </w:rPr>
              <w:t>Import</w:t>
            </w:r>
          </w:p>
        </w:tc>
        <w:tc>
          <w:tcPr>
            <w:tcW w:type="dxa" w:w="7344"/>
            <w:vAlign w:val="top"/>
          </w:tcPr>
          <w:p>
            <w:pPr>
              <w:jc w:val="left"/>
            </w:pPr>
            <w:r/>
            <w:r>
              <w:rPr>
                <w:rFonts w:ascii="Arial" w:hAnsi="Arial"/>
                <w:b w:val="0"/>
                <w:sz w:val="18"/>
              </w:rPr>
              <w:t>Import full reel folders; do not flatten media from multiple cards.</w:t>
            </w:r>
          </w:p>
        </w:tc>
      </w:tr>
      <w:tr>
        <w:tc>
          <w:tcPr>
            <w:tcW w:type="dxa" w:w="2448"/>
            <w:vAlign w:val="top"/>
          </w:tcPr>
          <w:p>
            <w:pPr>
              <w:jc w:val="left"/>
            </w:pPr>
            <w:r/>
            <w:r>
              <w:rPr>
                <w:rFonts w:ascii="Arial" w:hAnsi="Arial"/>
                <w:b w:val="0"/>
                <w:sz w:val="18"/>
              </w:rPr>
              <w:t>Bins</w:t>
            </w:r>
          </w:p>
        </w:tc>
        <w:tc>
          <w:tcPr>
            <w:tcW w:type="dxa" w:w="7344"/>
            <w:vAlign w:val="top"/>
          </w:tcPr>
          <w:p>
            <w:pPr>
              <w:jc w:val="left"/>
            </w:pPr>
            <w:r/>
            <w:r>
              <w:rPr>
                <w:rFonts w:ascii="Arial" w:hAnsi="Arial"/>
                <w:b w:val="0"/>
                <w:sz w:val="18"/>
              </w:rPr>
              <w:t>Build bins by reel, scene, shoot day, audio, proxies, selects, and exports as needed.</w:t>
            </w:r>
          </w:p>
        </w:tc>
      </w:tr>
      <w:tr>
        <w:tc>
          <w:tcPr>
            <w:tcW w:type="dxa" w:w="2448"/>
            <w:vAlign w:val="top"/>
          </w:tcPr>
          <w:p>
            <w:pPr>
              <w:jc w:val="left"/>
            </w:pPr>
            <w:r/>
            <w:r>
              <w:rPr>
                <w:rFonts w:ascii="Arial" w:hAnsi="Arial"/>
                <w:b w:val="0"/>
                <w:sz w:val="18"/>
              </w:rPr>
              <w:t>Audio inspection</w:t>
            </w:r>
          </w:p>
        </w:tc>
        <w:tc>
          <w:tcPr>
            <w:tcW w:type="dxa" w:w="7344"/>
            <w:vAlign w:val="top"/>
          </w:tcPr>
          <w:p>
            <w:pPr>
              <w:jc w:val="left"/>
            </w:pPr>
            <w:r/>
            <w:r>
              <w:rPr>
                <w:rFonts w:ascii="Arial" w:hAnsi="Arial"/>
                <w:b w:val="0"/>
                <w:sz w:val="18"/>
              </w:rPr>
              <w:t>Inspect channel layout before editing. Muting a whole event does not prove channel separation.</w:t>
            </w:r>
          </w:p>
        </w:tc>
      </w:tr>
      <w:tr>
        <w:tc>
          <w:tcPr>
            <w:tcW w:type="dxa" w:w="2448"/>
            <w:vAlign w:val="top"/>
          </w:tcPr>
          <w:p>
            <w:pPr>
              <w:jc w:val="left"/>
            </w:pPr>
            <w:r/>
            <w:r>
              <w:rPr>
                <w:rFonts w:ascii="Arial" w:hAnsi="Arial"/>
                <w:b w:val="0"/>
                <w:sz w:val="18"/>
              </w:rPr>
              <w:t>Two-transmitter split</w:t>
            </w:r>
          </w:p>
        </w:tc>
        <w:tc>
          <w:tcPr>
            <w:tcW w:type="dxa" w:w="7344"/>
            <w:vAlign w:val="top"/>
          </w:tcPr>
          <w:p>
            <w:pPr>
              <w:jc w:val="left"/>
            </w:pPr>
            <w:r/>
            <w:r>
              <w:rPr>
                <w:rFonts w:ascii="Arial" w:hAnsi="Arial"/>
                <w:b w:val="0"/>
                <w:sz w:val="18"/>
              </w:rPr>
              <w:t>Confirm TX1/TX2 mapping before cutting.</w:t>
            </w:r>
          </w:p>
        </w:tc>
      </w:tr>
      <w:tr>
        <w:tc>
          <w:tcPr>
            <w:tcW w:type="dxa" w:w="2448"/>
            <w:vAlign w:val="top"/>
          </w:tcPr>
          <w:p>
            <w:pPr>
              <w:jc w:val="left"/>
            </w:pPr>
            <w:r/>
            <w:r>
              <w:rPr>
                <w:rFonts w:ascii="Arial" w:hAnsi="Arial"/>
                <w:b w:val="0"/>
                <w:sz w:val="18"/>
              </w:rPr>
              <w:t>Boom/lav organization</w:t>
            </w:r>
          </w:p>
        </w:tc>
        <w:tc>
          <w:tcPr>
            <w:tcW w:type="dxa" w:w="7344"/>
            <w:vAlign w:val="top"/>
          </w:tcPr>
          <w:p>
            <w:pPr>
              <w:jc w:val="left"/>
            </w:pPr>
            <w:r/>
            <w:r>
              <w:rPr>
                <w:rFonts w:ascii="Arial" w:hAnsi="Arial"/>
                <w:b w:val="0"/>
                <w:sz w:val="18"/>
              </w:rPr>
              <w:t>Keep boom/lav naming and sync notes visible.</w:t>
            </w:r>
          </w:p>
        </w:tc>
      </w:tr>
      <w:tr>
        <w:tc>
          <w:tcPr>
            <w:tcW w:type="dxa" w:w="2448"/>
            <w:vAlign w:val="top"/>
          </w:tcPr>
          <w:p>
            <w:pPr>
              <w:jc w:val="left"/>
            </w:pPr>
            <w:r/>
            <w:r>
              <w:rPr>
                <w:rFonts w:ascii="Arial" w:hAnsi="Arial"/>
                <w:b w:val="0"/>
                <w:sz w:val="18"/>
              </w:rPr>
              <w:t>Solo CH1 mono centering</w:t>
            </w:r>
          </w:p>
        </w:tc>
        <w:tc>
          <w:tcPr>
            <w:tcW w:type="dxa" w:w="7344"/>
            <w:vAlign w:val="top"/>
          </w:tcPr>
          <w:p>
            <w:pPr>
              <w:jc w:val="left"/>
            </w:pPr>
            <w:r/>
            <w:r>
              <w:rPr>
                <w:rFonts w:ascii="Arial" w:hAnsi="Arial"/>
                <w:b w:val="0"/>
                <w:sz w:val="18"/>
              </w:rPr>
              <w:t>Center mono audio intentionally rather than assuming it will behave correctly.</w:t>
            </w:r>
          </w:p>
        </w:tc>
      </w:tr>
      <w:tr>
        <w:tc>
          <w:tcPr>
            <w:tcW w:type="dxa" w:w="2448"/>
            <w:vAlign w:val="top"/>
          </w:tcPr>
          <w:p>
            <w:pPr>
              <w:jc w:val="left"/>
            </w:pPr>
            <w:r/>
            <w:r>
              <w:rPr>
                <w:rFonts w:ascii="Arial" w:hAnsi="Arial"/>
                <w:b w:val="0"/>
                <w:sz w:val="18"/>
              </w:rPr>
              <w:t>Post-import checklist</w:t>
            </w:r>
          </w:p>
        </w:tc>
        <w:tc>
          <w:tcPr>
            <w:tcW w:type="dxa" w:w="7344"/>
            <w:vAlign w:val="top"/>
          </w:tcPr>
          <w:p>
            <w:pPr>
              <w:jc w:val="left"/>
            </w:pPr>
            <w:r/>
            <w:r>
              <w:rPr>
                <w:rFonts w:ascii="Arial" w:hAnsi="Arial"/>
                <w:b w:val="0"/>
                <w:sz w:val="18"/>
              </w:rPr>
              <w:t>Confirm media, audio, picture, and proxy status.</w:t>
            </w:r>
          </w:p>
        </w:tc>
      </w:tr>
    </w:tbl>
    <w:p/>
    <w:p>
      <w:r>
        <w:br w:type="page"/>
      </w:r>
    </w:p>
    <w:p>
      <w:pPr>
        <w:pStyle w:val="Heading1"/>
      </w:pPr>
      <w:r>
        <w:t>9. Proxy Workflow</w:t>
      </w:r>
    </w:p>
    <w:p>
      <w:r>
        <w:rPr>
          <w:rFonts w:ascii="Arial" w:hAnsi="Arial"/>
          <w:b w:val="0"/>
          <w:i w:val="0"/>
          <w:sz w:val="20"/>
        </w:rPr>
        <w:t>Shoot high-quality originals. Edit with proxies if needed. Keep proxy status traceable.</w:t>
      </w:r>
    </w:p>
    <w:tbl>
      <w:tblPr>
        <w:tblStyle w:val="TableGrid"/>
        <w:tblW w:type="auto" w:w="0"/>
        <w:jc w:val="center"/>
        <w:tblLook w:firstColumn="1" w:firstRow="1" w:lastColumn="0" w:lastRow="0" w:noHBand="0" w:noVBand="1" w:val="04A0"/>
      </w:tblPr>
      <w:tblGrid>
        <w:gridCol w:w="5184"/>
        <w:gridCol w:w="5184"/>
      </w:tblGrid>
      <w:tr>
        <w:tc>
          <w:tcPr>
            <w:tcW w:type="dxa" w:w="2448"/>
            <w:shd w:fill="1F4E79"/>
            <w:vAlign w:val="top"/>
          </w:tcPr>
          <w:p>
            <w:pPr>
              <w:jc w:val="left"/>
            </w:pPr>
            <w:r/>
            <w:r>
              <w:rPr>
                <w:rFonts w:ascii="Arial" w:hAnsi="Arial"/>
                <w:b/>
                <w:color w:val="FFFFFF"/>
                <w:sz w:val="18"/>
              </w:rPr>
              <w:t>Proxy task</w:t>
            </w:r>
          </w:p>
        </w:tc>
        <w:tc>
          <w:tcPr>
            <w:tcW w:type="dxa" w:w="7344"/>
            <w:shd w:fill="1F4E79"/>
            <w:vAlign w:val="top"/>
          </w:tcPr>
          <w:p>
            <w:pPr>
              <w:jc w:val="left"/>
            </w:pPr>
            <w:r/>
            <w:r>
              <w:rPr>
                <w:rFonts w:ascii="Arial" w:hAnsi="Arial"/>
                <w:b/>
                <w:color w:val="FFFFFF"/>
                <w:sz w:val="18"/>
              </w:rPr>
              <w:t>Rule</w:t>
            </w:r>
          </w:p>
        </w:tc>
      </w:tr>
      <w:tr>
        <w:tc>
          <w:tcPr>
            <w:tcW w:type="dxa" w:w="2448"/>
            <w:vAlign w:val="top"/>
          </w:tcPr>
          <w:p>
            <w:pPr>
              <w:jc w:val="left"/>
            </w:pPr>
            <w:r/>
            <w:r>
              <w:rPr>
                <w:rFonts w:ascii="Arial" w:hAnsi="Arial"/>
                <w:b w:val="0"/>
                <w:sz w:val="18"/>
              </w:rPr>
              <w:t>When to proxy</w:t>
            </w:r>
          </w:p>
        </w:tc>
        <w:tc>
          <w:tcPr>
            <w:tcW w:type="dxa" w:w="7344"/>
            <w:vAlign w:val="top"/>
          </w:tcPr>
          <w:p>
            <w:pPr>
              <w:jc w:val="left"/>
            </w:pPr>
            <w:r/>
            <w:r>
              <w:rPr>
                <w:rFonts w:ascii="Arial" w:hAnsi="Arial"/>
                <w:b w:val="0"/>
                <w:sz w:val="18"/>
              </w:rPr>
              <w:t>Use proxies when originals are too heavy for smooth editing or storage/cache workflow requires it.</w:t>
            </w:r>
          </w:p>
        </w:tc>
      </w:tr>
      <w:tr>
        <w:tc>
          <w:tcPr>
            <w:tcW w:type="dxa" w:w="2448"/>
            <w:vAlign w:val="top"/>
          </w:tcPr>
          <w:p>
            <w:pPr>
              <w:jc w:val="left"/>
            </w:pPr>
            <w:r/>
            <w:r>
              <w:rPr>
                <w:rFonts w:ascii="Arial" w:hAnsi="Arial"/>
                <w:b w:val="0"/>
                <w:sz w:val="18"/>
              </w:rPr>
              <w:t>Proxy resolution</w:t>
            </w:r>
          </w:p>
        </w:tc>
        <w:tc>
          <w:tcPr>
            <w:tcW w:type="dxa" w:w="7344"/>
            <w:vAlign w:val="top"/>
          </w:tcPr>
          <w:p>
            <w:pPr>
              <w:jc w:val="left"/>
            </w:pPr>
            <w:r/>
            <w:r>
              <w:rPr>
                <w:rFonts w:ascii="Arial" w:hAnsi="Arial"/>
                <w:b w:val="0"/>
                <w:sz w:val="18"/>
              </w:rPr>
              <w:t>1080p proxies are often a good editing compromise; 720p may be acceptable for light review workflows.</w:t>
            </w:r>
          </w:p>
        </w:tc>
      </w:tr>
      <w:tr>
        <w:tc>
          <w:tcPr>
            <w:tcW w:type="dxa" w:w="2448"/>
            <w:vAlign w:val="top"/>
          </w:tcPr>
          <w:p>
            <w:pPr>
              <w:jc w:val="left"/>
            </w:pPr>
            <w:r/>
            <w:r>
              <w:rPr>
                <w:rFonts w:ascii="Arial" w:hAnsi="Arial"/>
                <w:b w:val="0"/>
                <w:sz w:val="18"/>
              </w:rPr>
              <w:t>Tracking</w:t>
            </w:r>
          </w:p>
        </w:tc>
        <w:tc>
          <w:tcPr>
            <w:tcW w:type="dxa" w:w="7344"/>
            <w:vAlign w:val="top"/>
          </w:tcPr>
          <w:p>
            <w:pPr>
              <w:jc w:val="left"/>
            </w:pPr>
            <w:r/>
            <w:r>
              <w:rPr>
                <w:rFonts w:ascii="Arial" w:hAnsi="Arial"/>
                <w:b w:val="0"/>
                <w:sz w:val="18"/>
              </w:rPr>
              <w:t>Use Proxy Created field so clips are not missed.</w:t>
            </w:r>
          </w:p>
        </w:tc>
      </w:tr>
      <w:tr>
        <w:tc>
          <w:tcPr>
            <w:tcW w:type="dxa" w:w="2448"/>
            <w:vAlign w:val="top"/>
          </w:tcPr>
          <w:p>
            <w:pPr>
              <w:jc w:val="left"/>
            </w:pPr>
            <w:r/>
            <w:r>
              <w:rPr>
                <w:rFonts w:ascii="Arial" w:hAnsi="Arial"/>
                <w:b w:val="0"/>
                <w:sz w:val="18"/>
              </w:rPr>
              <w:t>Relink discipline</w:t>
            </w:r>
          </w:p>
        </w:tc>
        <w:tc>
          <w:tcPr>
            <w:tcW w:type="dxa" w:w="7344"/>
            <w:vAlign w:val="top"/>
          </w:tcPr>
          <w:p>
            <w:pPr>
              <w:jc w:val="left"/>
            </w:pPr>
            <w:r/>
            <w:r>
              <w:rPr>
                <w:rFonts w:ascii="Arial" w:hAnsi="Arial"/>
                <w:b w:val="0"/>
                <w:sz w:val="18"/>
              </w:rPr>
              <w:t>Keep originals untouched and proxies associated by project workflow, not random filename guessing.</w:t>
            </w:r>
          </w:p>
        </w:tc>
      </w:tr>
      <w:tr>
        <w:tc>
          <w:tcPr>
            <w:tcW w:type="dxa" w:w="2448"/>
            <w:vAlign w:val="top"/>
          </w:tcPr>
          <w:p>
            <w:pPr>
              <w:jc w:val="left"/>
            </w:pPr>
            <w:r/>
            <w:r>
              <w:rPr>
                <w:rFonts w:ascii="Arial" w:hAnsi="Arial"/>
                <w:b w:val="0"/>
                <w:sz w:val="18"/>
              </w:rPr>
              <w:t>Grade/export</w:t>
            </w:r>
          </w:p>
        </w:tc>
        <w:tc>
          <w:tcPr>
            <w:tcW w:type="dxa" w:w="7344"/>
            <w:vAlign w:val="top"/>
          </w:tcPr>
          <w:p>
            <w:pPr>
              <w:jc w:val="left"/>
            </w:pPr>
            <w:r/>
            <w:r>
              <w:rPr>
                <w:rFonts w:ascii="Arial" w:hAnsi="Arial"/>
                <w:b w:val="0"/>
                <w:sz w:val="18"/>
              </w:rPr>
              <w:t>Grade and export from originals or correct high-quality media path, not accidental proxy-only output.</w:t>
            </w:r>
          </w:p>
        </w:tc>
      </w:tr>
    </w:tbl>
    <w:p/>
    <w:tbl>
      <w:tblPr>
        <w:tblStyle w:val="TableGrid"/>
        <w:tblW w:type="auto" w:w="0"/>
        <w:jc w:val="center"/>
        <w:tblLook w:firstColumn="1" w:firstRow="1" w:lastColumn="0" w:lastRow="0" w:noHBand="0" w:noVBand="1" w:val="04A0"/>
      </w:tblPr>
      <w:tblGrid>
        <w:gridCol w:w="5184"/>
        <w:gridCol w:w="5184"/>
      </w:tblGrid>
      <w:tr>
        <w:tc>
          <w:tcPr>
            <w:tcW w:type="dxa" w:w="4896"/>
            <w:shd w:fill="1F4E79"/>
            <w:vAlign w:val="top"/>
          </w:tcPr>
          <w:p>
            <w:pPr>
              <w:jc w:val="left"/>
            </w:pPr>
            <w:r/>
            <w:r>
              <w:rPr>
                <w:rFonts w:ascii="Arial" w:hAnsi="Arial"/>
                <w:b/>
                <w:color w:val="FFFFFF"/>
                <w:sz w:val="18"/>
              </w:rPr>
              <w:t>Unique Clip ID</w:t>
            </w:r>
          </w:p>
        </w:tc>
        <w:tc>
          <w:tcPr>
            <w:tcW w:type="dxa" w:w="4896"/>
            <w:shd w:fill="1F4E79"/>
            <w:vAlign w:val="top"/>
          </w:tcPr>
          <w:p>
            <w:pPr>
              <w:jc w:val="left"/>
            </w:pPr>
            <w:r/>
            <w:r>
              <w:rPr>
                <w:rFonts w:ascii="Arial" w:hAnsi="Arial"/>
                <w:b/>
                <w:color w:val="FFFFFF"/>
                <w:sz w:val="18"/>
              </w:rPr>
              <w:t>Proxy Created</w:t>
            </w:r>
          </w:p>
        </w:tc>
      </w:tr>
      <w:tr>
        <w:tc>
          <w:tcPr>
            <w:tcW w:type="dxa" w:w="4896"/>
            <w:vAlign w:val="top"/>
          </w:tcPr>
          <w:p>
            <w:pPr>
              <w:jc w:val="left"/>
            </w:pPr>
            <w:r/>
            <w:r>
              <w:rPr>
                <w:rFonts w:ascii="Arial" w:hAnsi="Arial"/>
                <w:b w:val="0"/>
                <w:sz w:val="18"/>
              </w:rPr>
              <w:t>A001_C0001</w:t>
            </w:r>
          </w:p>
        </w:tc>
        <w:tc>
          <w:tcPr>
            <w:tcW w:type="dxa" w:w="4896"/>
            <w:vAlign w:val="top"/>
          </w:tcPr>
          <w:p>
            <w:pPr>
              <w:jc w:val="left"/>
            </w:pPr>
            <w:r/>
            <w:r>
              <w:rPr>
                <w:rFonts w:ascii="Arial" w:hAnsi="Arial"/>
                <w:b w:val="0"/>
                <w:sz w:val="18"/>
              </w:rPr>
              <w:t>Yes</w:t>
            </w:r>
          </w:p>
        </w:tc>
      </w:tr>
      <w:tr>
        <w:tc>
          <w:tcPr>
            <w:tcW w:type="dxa" w:w="4896"/>
            <w:vAlign w:val="top"/>
          </w:tcPr>
          <w:p>
            <w:pPr>
              <w:jc w:val="left"/>
            </w:pPr>
            <w:r/>
            <w:r>
              <w:rPr>
                <w:rFonts w:ascii="Arial" w:hAnsi="Arial"/>
                <w:b w:val="0"/>
                <w:sz w:val="18"/>
              </w:rPr>
              <w:t>A001_C0002</w:t>
            </w:r>
          </w:p>
        </w:tc>
        <w:tc>
          <w:tcPr>
            <w:tcW w:type="dxa" w:w="4896"/>
            <w:vAlign w:val="top"/>
          </w:tcPr>
          <w:p>
            <w:pPr>
              <w:jc w:val="left"/>
            </w:pPr>
            <w:r/>
            <w:r>
              <w:rPr>
                <w:rFonts w:ascii="Arial" w:hAnsi="Arial"/>
                <w:b w:val="0"/>
                <w:sz w:val="18"/>
              </w:rPr>
              <w:t>Yes</w:t>
            </w:r>
          </w:p>
        </w:tc>
      </w:tr>
      <w:tr>
        <w:tc>
          <w:tcPr>
            <w:tcW w:type="dxa" w:w="4896"/>
            <w:vAlign w:val="top"/>
          </w:tcPr>
          <w:p>
            <w:pPr>
              <w:jc w:val="left"/>
            </w:pPr>
            <w:r/>
            <w:r>
              <w:rPr>
                <w:rFonts w:ascii="Arial" w:hAnsi="Arial"/>
                <w:b w:val="0"/>
                <w:sz w:val="18"/>
              </w:rPr>
              <w:t>A001_C0003</w:t>
            </w:r>
          </w:p>
        </w:tc>
        <w:tc>
          <w:tcPr>
            <w:tcW w:type="dxa" w:w="4896"/>
            <w:vAlign w:val="top"/>
          </w:tcPr>
          <w:p>
            <w:pPr>
              <w:jc w:val="left"/>
            </w:pPr>
            <w:r/>
            <w:r>
              <w:rPr>
                <w:rFonts w:ascii="Arial" w:hAnsi="Arial"/>
                <w:b w:val="0"/>
                <w:sz w:val="18"/>
              </w:rPr>
              <w:t>No</w:t>
            </w:r>
          </w:p>
        </w:tc>
      </w:tr>
    </w:tbl>
    <w:p/>
    <w:p>
      <w:r>
        <w:br w:type="page"/>
      </w:r>
    </w:p>
    <w:p>
      <w:pPr>
        <w:pStyle w:val="Heading1"/>
      </w:pPr>
      <w:r>
        <w:t>10. Archive Package</w:t>
      </w:r>
    </w:p>
    <w:p>
      <w:r>
        <w:rPr>
          <w:rFonts w:ascii="Arial" w:hAnsi="Arial"/>
          <w:b w:val="0"/>
          <w:i w:val="0"/>
          <w:sz w:val="20"/>
        </w:rPr>
        <w:t>At the end of the project, archive the complete production system, not only the final video file.</w:t>
      </w:r>
    </w:p>
    <w:p>
      <w:pPr>
        <w:pStyle w:val="ListBullet"/>
      </w:pPr>
      <w:r>
        <w:rPr>
          <w:rFonts w:ascii="Arial" w:hAnsi="Arial"/>
          <w:sz w:val="18"/>
        </w:rPr>
        <w:t>Full camera originals.</w:t>
      </w:r>
    </w:p>
    <w:p>
      <w:pPr>
        <w:pStyle w:val="ListBullet"/>
      </w:pPr>
      <w:r>
        <w:rPr>
          <w:rFonts w:ascii="Arial" w:hAnsi="Arial"/>
          <w:sz w:val="18"/>
        </w:rPr>
        <w:t>RØDE onboard audio.</w:t>
      </w:r>
    </w:p>
    <w:p>
      <w:pPr>
        <w:pStyle w:val="ListBullet"/>
      </w:pPr>
      <w:r>
        <w:rPr>
          <w:rFonts w:ascii="Arial" w:hAnsi="Arial"/>
          <w:sz w:val="18"/>
        </w:rPr>
        <w:t>Boom/external audio.</w:t>
      </w:r>
    </w:p>
    <w:p>
      <w:pPr>
        <w:pStyle w:val="ListBullet"/>
      </w:pPr>
      <w:r>
        <w:rPr>
          <w:rFonts w:ascii="Arial" w:hAnsi="Arial"/>
          <w:sz w:val="18"/>
        </w:rPr>
        <w:t>Room tone.</w:t>
      </w:r>
    </w:p>
    <w:p>
      <w:pPr>
        <w:pStyle w:val="ListBullet"/>
      </w:pPr>
      <w:r>
        <w:rPr>
          <w:rFonts w:ascii="Arial" w:hAnsi="Arial"/>
          <w:sz w:val="18"/>
        </w:rPr>
        <w:t>Excel log and/or Word log.</w:t>
      </w:r>
    </w:p>
    <w:p>
      <w:pPr>
        <w:pStyle w:val="ListBullet"/>
      </w:pPr>
      <w:r>
        <w:rPr>
          <w:rFonts w:ascii="Arial" w:hAnsi="Arial"/>
          <w:sz w:val="18"/>
        </w:rPr>
        <w:t>Paper log scans if used.</w:t>
      </w:r>
    </w:p>
    <w:p>
      <w:pPr>
        <w:pStyle w:val="ListBullet"/>
      </w:pPr>
      <w:r>
        <w:rPr>
          <w:rFonts w:ascii="Arial" w:hAnsi="Arial"/>
          <w:sz w:val="18"/>
        </w:rPr>
        <w:t>Resolve/Premiere project files.</w:t>
      </w:r>
    </w:p>
    <w:p>
      <w:pPr>
        <w:pStyle w:val="ListBullet"/>
      </w:pPr>
      <w:r>
        <w:rPr>
          <w:rFonts w:ascii="Arial" w:hAnsi="Arial"/>
          <w:sz w:val="18"/>
        </w:rPr>
        <w:t>Final exports and review exports.</w:t>
      </w:r>
    </w:p>
    <w:p>
      <w:pPr>
        <w:pStyle w:val="ListBullet"/>
      </w:pPr>
      <w:r>
        <w:rPr>
          <w:rFonts w:ascii="Arial" w:hAnsi="Arial"/>
          <w:sz w:val="18"/>
        </w:rPr>
        <w:t>LUT/settings notes.</w:t>
      </w:r>
    </w:p>
    <w:p>
      <w:pPr>
        <w:pStyle w:val="ListBullet"/>
      </w:pPr>
      <w:r>
        <w:rPr>
          <w:rFonts w:ascii="Arial" w:hAnsi="Arial"/>
          <w:sz w:val="18"/>
        </w:rPr>
        <w:t>Relevant proxy files if desired.</w:t>
      </w:r>
    </w:p>
    <w:p>
      <w:pPr>
        <w:pStyle w:val="ListBullet"/>
      </w:pPr>
      <w:r>
        <w:rPr>
          <w:rFonts w:ascii="Arial" w:hAnsi="Arial"/>
          <w:sz w:val="18"/>
        </w:rPr>
        <w:t>Archive manifest showing what was preserved and where.</w:t>
      </w:r>
    </w:p>
    <w:tbl>
      <w:tblPr>
        <w:tblStyle w:val="TableGrid"/>
        <w:tblW w:type="auto" w:w="0"/>
        <w:jc w:val="center"/>
        <w:tblLook w:firstColumn="1" w:firstRow="1" w:lastColumn="0" w:lastRow="0" w:noHBand="0" w:noVBand="1" w:val="04A0"/>
      </w:tblPr>
      <w:tblGrid>
        <w:gridCol w:w="2592"/>
        <w:gridCol w:w="2592"/>
        <w:gridCol w:w="2592"/>
        <w:gridCol w:w="2592"/>
      </w:tblGrid>
      <w:tr>
        <w:tc>
          <w:tcPr>
            <w:tcW w:type="dxa" w:w="2448"/>
            <w:shd w:fill="1F4E79"/>
            <w:vAlign w:val="top"/>
          </w:tcPr>
          <w:p>
            <w:pPr>
              <w:jc w:val="left"/>
            </w:pPr>
            <w:r/>
            <w:r>
              <w:rPr>
                <w:rFonts w:ascii="Arial" w:hAnsi="Arial"/>
                <w:b/>
                <w:color w:val="FFFFFF"/>
                <w:sz w:val="18"/>
              </w:rPr>
              <w:t>Reel</w:t>
            </w:r>
          </w:p>
        </w:tc>
        <w:tc>
          <w:tcPr>
            <w:tcW w:type="dxa" w:w="2448"/>
            <w:shd w:fill="1F4E79"/>
            <w:vAlign w:val="top"/>
          </w:tcPr>
          <w:p>
            <w:pPr>
              <w:jc w:val="left"/>
            </w:pPr>
            <w:r/>
            <w:r>
              <w:rPr>
                <w:rFonts w:ascii="Arial" w:hAnsi="Arial"/>
                <w:b/>
                <w:color w:val="FFFFFF"/>
                <w:sz w:val="18"/>
              </w:rPr>
              <w:t>Backup 1</w:t>
            </w:r>
          </w:p>
        </w:tc>
        <w:tc>
          <w:tcPr>
            <w:tcW w:type="dxa" w:w="2448"/>
            <w:shd w:fill="1F4E79"/>
            <w:vAlign w:val="top"/>
          </w:tcPr>
          <w:p>
            <w:pPr>
              <w:jc w:val="left"/>
            </w:pPr>
            <w:r/>
            <w:r>
              <w:rPr>
                <w:rFonts w:ascii="Arial" w:hAnsi="Arial"/>
                <w:b/>
                <w:color w:val="FFFFFF"/>
                <w:sz w:val="18"/>
              </w:rPr>
              <w:t>Backup 2</w:t>
            </w:r>
          </w:p>
        </w:tc>
        <w:tc>
          <w:tcPr>
            <w:tcW w:type="dxa" w:w="2448"/>
            <w:shd w:fill="1F4E79"/>
            <w:vAlign w:val="top"/>
          </w:tcPr>
          <w:p>
            <w:pPr>
              <w:jc w:val="left"/>
            </w:pPr>
            <w:r/>
            <w:r>
              <w:rPr>
                <w:rFonts w:ascii="Arial" w:hAnsi="Arial"/>
                <w:b/>
                <w:color w:val="FFFFFF"/>
                <w:sz w:val="18"/>
              </w:rPr>
              <w:t>Verified</w:t>
            </w:r>
          </w:p>
        </w:tc>
      </w:tr>
      <w:tr>
        <w:tc>
          <w:tcPr>
            <w:tcW w:type="dxa" w:w="2448"/>
            <w:vAlign w:val="top"/>
          </w:tcPr>
          <w:p>
            <w:pPr>
              <w:jc w:val="left"/>
            </w:pPr>
            <w:r/>
            <w:r>
              <w:rPr>
                <w:rFonts w:ascii="Arial" w:hAnsi="Arial"/>
                <w:b w:val="0"/>
                <w:sz w:val="18"/>
              </w:rPr>
              <w:t>A001</w:t>
            </w:r>
          </w:p>
        </w:tc>
        <w:tc>
          <w:tcPr>
            <w:tcW w:type="dxa" w:w="2448"/>
            <w:vAlign w:val="top"/>
          </w:tcPr>
          <w:p>
            <w:pPr>
              <w:jc w:val="left"/>
            </w:pPr>
            <w:r/>
            <w:r>
              <w:rPr>
                <w:rFonts w:ascii="Arial" w:hAnsi="Arial"/>
                <w:b w:val="0"/>
                <w:sz w:val="18"/>
              </w:rPr>
              <w:t>Yes</w:t>
            </w:r>
          </w:p>
        </w:tc>
        <w:tc>
          <w:tcPr>
            <w:tcW w:type="dxa" w:w="2448"/>
            <w:vAlign w:val="top"/>
          </w:tcPr>
          <w:p>
            <w:pPr>
              <w:jc w:val="left"/>
            </w:pPr>
            <w:r/>
            <w:r>
              <w:rPr>
                <w:rFonts w:ascii="Arial" w:hAnsi="Arial"/>
                <w:b w:val="0"/>
                <w:sz w:val="18"/>
              </w:rPr>
              <w:t>Yes</w:t>
            </w:r>
          </w:p>
        </w:tc>
        <w:tc>
          <w:tcPr>
            <w:tcW w:type="dxa" w:w="2448"/>
            <w:vAlign w:val="top"/>
          </w:tcPr>
          <w:p>
            <w:pPr>
              <w:jc w:val="left"/>
            </w:pPr>
            <w:r/>
            <w:r>
              <w:rPr>
                <w:rFonts w:ascii="Arial" w:hAnsi="Arial"/>
                <w:b w:val="0"/>
                <w:sz w:val="18"/>
              </w:rPr>
              <w:t>Yes</w:t>
            </w:r>
          </w:p>
        </w:tc>
      </w:tr>
      <w:tr>
        <w:tc>
          <w:tcPr>
            <w:tcW w:type="dxa" w:w="2448"/>
            <w:vAlign w:val="top"/>
          </w:tcPr>
          <w:p>
            <w:pPr>
              <w:jc w:val="left"/>
            </w:pPr>
            <w:r/>
            <w:r>
              <w:rPr>
                <w:rFonts w:ascii="Arial" w:hAnsi="Arial"/>
                <w:b w:val="0"/>
                <w:sz w:val="18"/>
              </w:rPr>
              <w:t>A002</w:t>
            </w:r>
          </w:p>
        </w:tc>
        <w:tc>
          <w:tcPr>
            <w:tcW w:type="dxa" w:w="2448"/>
            <w:vAlign w:val="top"/>
          </w:tcPr>
          <w:p>
            <w:pPr>
              <w:jc w:val="left"/>
            </w:pPr>
            <w:r/>
            <w:r>
              <w:rPr>
                <w:rFonts w:ascii="Arial" w:hAnsi="Arial"/>
                <w:b w:val="0"/>
                <w:sz w:val="18"/>
              </w:rPr>
              <w:t>Yes</w:t>
            </w:r>
          </w:p>
        </w:tc>
        <w:tc>
          <w:tcPr>
            <w:tcW w:type="dxa" w:w="2448"/>
            <w:vAlign w:val="top"/>
          </w:tcPr>
          <w:p>
            <w:pPr>
              <w:jc w:val="left"/>
            </w:pPr>
            <w:r/>
            <w:r>
              <w:rPr>
                <w:rFonts w:ascii="Arial" w:hAnsi="Arial"/>
                <w:b w:val="0"/>
                <w:sz w:val="18"/>
              </w:rPr>
              <w:t>No</w:t>
            </w:r>
          </w:p>
        </w:tc>
        <w:tc>
          <w:tcPr>
            <w:tcW w:type="dxa" w:w="2448"/>
            <w:vAlign w:val="top"/>
          </w:tcPr>
          <w:p>
            <w:pPr>
              <w:jc w:val="left"/>
            </w:pPr>
            <w:r/>
            <w:r>
              <w:rPr>
                <w:rFonts w:ascii="Arial" w:hAnsi="Arial"/>
                <w:b w:val="0"/>
                <w:sz w:val="18"/>
              </w:rPr>
              <w:t>Pending</w:t>
            </w:r>
          </w:p>
        </w:tc>
      </w:tr>
    </w:tbl>
    <w:p/>
    <w:p>
      <w:r>
        <w:br w:type="page"/>
      </w:r>
    </w:p>
    <w:p>
      <w:pPr>
        <w:pStyle w:val="Heading1"/>
      </w:pPr>
      <w:r>
        <w:t>11. Emergency Warnings</w:t>
      </w:r>
    </w:p>
    <w:tbl>
      <w:tblPr>
        <w:tblStyle w:val="TableGrid"/>
        <w:tblW w:type="auto" w:w="0"/>
        <w:jc w:val="center"/>
        <w:tblLook w:firstColumn="1" w:firstRow="1" w:lastColumn="0" w:lastRow="0" w:noHBand="0" w:noVBand="1" w:val="04A0"/>
      </w:tblPr>
      <w:tblGrid>
        <w:gridCol w:w="5184"/>
        <w:gridCol w:w="5184"/>
      </w:tblGrid>
      <w:tr>
        <w:tc>
          <w:tcPr>
            <w:tcW w:type="dxa" w:w="3888"/>
            <w:shd w:fill="1F4E79"/>
            <w:vAlign w:val="top"/>
          </w:tcPr>
          <w:p>
            <w:pPr>
              <w:jc w:val="left"/>
            </w:pPr>
            <w:r/>
            <w:r>
              <w:rPr>
                <w:rFonts w:ascii="Arial" w:hAnsi="Arial"/>
                <w:b/>
                <w:color w:val="FFFFFF"/>
                <w:sz w:val="18"/>
              </w:rPr>
              <w:t>If this happens...</w:t>
            </w:r>
          </w:p>
        </w:tc>
        <w:tc>
          <w:tcPr>
            <w:tcW w:type="dxa" w:w="5904"/>
            <w:shd w:fill="1F4E79"/>
            <w:vAlign w:val="top"/>
          </w:tcPr>
          <w:p>
            <w:pPr>
              <w:jc w:val="left"/>
            </w:pPr>
            <w:r/>
            <w:r>
              <w:rPr>
                <w:rFonts w:ascii="Arial" w:hAnsi="Arial"/>
                <w:b/>
                <w:color w:val="FFFFFF"/>
                <w:sz w:val="18"/>
              </w:rPr>
              <w:t>Immediate action</w:t>
            </w:r>
          </w:p>
        </w:tc>
      </w:tr>
      <w:tr>
        <w:tc>
          <w:tcPr>
            <w:tcW w:type="dxa" w:w="3888"/>
            <w:vAlign w:val="top"/>
          </w:tcPr>
          <w:p>
            <w:pPr>
              <w:jc w:val="left"/>
            </w:pPr>
            <w:r/>
            <w:r>
              <w:rPr>
                <w:rFonts w:ascii="Arial" w:hAnsi="Arial"/>
                <w:b w:val="0"/>
                <w:sz w:val="18"/>
              </w:rPr>
              <w:t>Card not backed up but someone wants to format</w:t>
            </w:r>
          </w:p>
        </w:tc>
        <w:tc>
          <w:tcPr>
            <w:tcW w:type="dxa" w:w="5904"/>
            <w:vAlign w:val="top"/>
          </w:tcPr>
          <w:p>
            <w:pPr>
              <w:jc w:val="left"/>
            </w:pPr>
            <w:r/>
            <w:r>
              <w:rPr>
                <w:rFonts w:ascii="Arial" w:hAnsi="Arial"/>
                <w:b w:val="0"/>
                <w:sz w:val="18"/>
              </w:rPr>
              <w:t>Do not format. Complete two-backup verification first.</w:t>
            </w:r>
          </w:p>
        </w:tc>
      </w:tr>
      <w:tr>
        <w:tc>
          <w:tcPr>
            <w:tcW w:type="dxa" w:w="3888"/>
            <w:vAlign w:val="top"/>
          </w:tcPr>
          <w:p>
            <w:pPr>
              <w:jc w:val="left"/>
            </w:pPr>
            <w:r/>
            <w:r>
              <w:rPr>
                <w:rFonts w:ascii="Arial" w:hAnsi="Arial"/>
                <w:b w:val="0"/>
                <w:sz w:val="18"/>
              </w:rPr>
              <w:t>Only loose MXF files were copied</w:t>
            </w:r>
          </w:p>
        </w:tc>
        <w:tc>
          <w:tcPr>
            <w:tcW w:type="dxa" w:w="5904"/>
            <w:vAlign w:val="top"/>
          </w:tcPr>
          <w:p>
            <w:pPr>
              <w:jc w:val="left"/>
            </w:pPr>
            <w:r/>
            <w:r>
              <w:rPr>
                <w:rFonts w:ascii="Arial" w:hAnsi="Arial"/>
                <w:b w:val="0"/>
                <w:sz w:val="18"/>
              </w:rPr>
              <w:t>Return to source card if available and copy full card structure.</w:t>
            </w:r>
          </w:p>
        </w:tc>
      </w:tr>
      <w:tr>
        <w:tc>
          <w:tcPr>
            <w:tcW w:type="dxa" w:w="3888"/>
            <w:vAlign w:val="top"/>
          </w:tcPr>
          <w:p>
            <w:pPr>
              <w:jc w:val="left"/>
            </w:pPr>
            <w:r/>
            <w:r>
              <w:rPr>
                <w:rFonts w:ascii="Arial" w:hAnsi="Arial"/>
                <w:b w:val="0"/>
                <w:sz w:val="18"/>
              </w:rPr>
              <w:t>Camera filenames repeat</w:t>
            </w:r>
          </w:p>
        </w:tc>
        <w:tc>
          <w:tcPr>
            <w:tcW w:type="dxa" w:w="5904"/>
            <w:vAlign w:val="top"/>
          </w:tcPr>
          <w:p>
            <w:pPr>
              <w:jc w:val="left"/>
            </w:pPr>
            <w:r/>
            <w:r>
              <w:rPr>
                <w:rFonts w:ascii="Arial" w:hAnsi="Arial"/>
                <w:b w:val="0"/>
                <w:sz w:val="18"/>
              </w:rPr>
              <w:t>Use reel/card/unique clip ID system and logs; do not depend on clip names alone.</w:t>
            </w:r>
          </w:p>
        </w:tc>
      </w:tr>
      <w:tr>
        <w:tc>
          <w:tcPr>
            <w:tcW w:type="dxa" w:w="3888"/>
            <w:vAlign w:val="top"/>
          </w:tcPr>
          <w:p>
            <w:pPr>
              <w:jc w:val="left"/>
            </w:pPr>
            <w:r/>
            <w:r>
              <w:rPr>
                <w:rFonts w:ascii="Arial" w:hAnsi="Arial"/>
                <w:b w:val="0"/>
                <w:sz w:val="18"/>
              </w:rPr>
              <w:t>Audio files cannot be matched</w:t>
            </w:r>
          </w:p>
        </w:tc>
        <w:tc>
          <w:tcPr>
            <w:tcW w:type="dxa" w:w="5904"/>
            <w:vAlign w:val="top"/>
          </w:tcPr>
          <w:p>
            <w:pPr>
              <w:jc w:val="left"/>
            </w:pPr>
            <w:r/>
            <w:r>
              <w:rPr>
                <w:rFonts w:ascii="Arial" w:hAnsi="Arial"/>
                <w:b w:val="0"/>
                <w:sz w:val="18"/>
              </w:rPr>
              <w:t>Use date/time, slate, waveform, logs, and routing notes before reorganizing.</w:t>
            </w:r>
          </w:p>
        </w:tc>
      </w:tr>
      <w:tr>
        <w:tc>
          <w:tcPr>
            <w:tcW w:type="dxa" w:w="3888"/>
            <w:vAlign w:val="top"/>
          </w:tcPr>
          <w:p>
            <w:pPr>
              <w:jc w:val="left"/>
            </w:pPr>
            <w:r/>
            <w:r>
              <w:rPr>
                <w:rFonts w:ascii="Arial" w:hAnsi="Arial"/>
                <w:b w:val="0"/>
                <w:sz w:val="18"/>
              </w:rPr>
              <w:t>Drive space is low</w:t>
            </w:r>
          </w:p>
        </w:tc>
        <w:tc>
          <w:tcPr>
            <w:tcW w:type="dxa" w:w="5904"/>
            <w:vAlign w:val="top"/>
          </w:tcPr>
          <w:p>
            <w:pPr>
              <w:jc w:val="left"/>
            </w:pPr>
            <w:r/>
            <w:r>
              <w:rPr>
                <w:rFonts w:ascii="Arial" w:hAnsi="Arial"/>
                <w:b w:val="0"/>
                <w:sz w:val="18"/>
              </w:rPr>
              <w:t>Stop and plan storage. Do not split original card folders casually.</w:t>
            </w:r>
          </w:p>
        </w:tc>
      </w:tr>
      <w:tr>
        <w:tc>
          <w:tcPr>
            <w:tcW w:type="dxa" w:w="3888"/>
            <w:vAlign w:val="top"/>
          </w:tcPr>
          <w:p>
            <w:pPr>
              <w:jc w:val="left"/>
            </w:pPr>
            <w:r/>
            <w:r>
              <w:rPr>
                <w:rFonts w:ascii="Arial" w:hAnsi="Arial"/>
                <w:b w:val="0"/>
                <w:sz w:val="18"/>
              </w:rPr>
              <w:t>Project files scattered</w:t>
            </w:r>
          </w:p>
        </w:tc>
        <w:tc>
          <w:tcPr>
            <w:tcW w:type="dxa" w:w="5904"/>
            <w:vAlign w:val="top"/>
          </w:tcPr>
          <w:p>
            <w:pPr>
              <w:jc w:val="left"/>
            </w:pPr>
            <w:r/>
            <w:r>
              <w:rPr>
                <w:rFonts w:ascii="Arial" w:hAnsi="Arial"/>
                <w:b w:val="0"/>
                <w:sz w:val="18"/>
              </w:rPr>
              <w:t>Consolidate into project folder structure and archive manifest.</w:t>
            </w:r>
          </w:p>
        </w:tc>
      </w:tr>
    </w:tbl>
    <w:p/>
    <w:p>
      <w:r>
        <w:br w:type="page"/>
      </w:r>
    </w:p>
    <w:p>
      <w:pPr>
        <w:pStyle w:val="Heading1"/>
      </w:pPr>
      <w:r>
        <w:t>12. Source Map</w:t>
      </w:r>
    </w:p>
    <w:tbl>
      <w:tblPr>
        <w:tblStyle w:val="TableGrid"/>
        <w:tblW w:type="auto" w:w="0"/>
        <w:jc w:val="center"/>
        <w:tblLook w:firstColumn="1" w:firstRow="1" w:lastColumn="0" w:lastRow="0" w:noHBand="0" w:noVBand="1" w:val="04A0"/>
      </w:tblPr>
      <w:tblGrid>
        <w:gridCol w:w="5184"/>
        <w:gridCol w:w="5184"/>
      </w:tblGrid>
      <w:tr>
        <w:tc>
          <w:tcPr>
            <w:tcW w:type="dxa" w:w="3600"/>
            <w:shd w:fill="1F4E79"/>
            <w:vAlign w:val="top"/>
          </w:tcPr>
          <w:p>
            <w:pPr>
              <w:jc w:val="left"/>
            </w:pPr>
            <w:r/>
            <w:r>
              <w:rPr>
                <w:rFonts w:ascii="Arial" w:hAnsi="Arial"/>
                <w:b/>
                <w:color w:val="FFFFFF"/>
                <w:sz w:val="18"/>
              </w:rPr>
              <w:t>Topic</w:t>
            </w:r>
          </w:p>
        </w:tc>
        <w:tc>
          <w:tcPr>
            <w:tcW w:type="dxa" w:w="6192"/>
            <w:shd w:fill="1F4E79"/>
            <w:vAlign w:val="top"/>
          </w:tcPr>
          <w:p>
            <w:pPr>
              <w:jc w:val="left"/>
            </w:pPr>
            <w:r/>
            <w:r>
              <w:rPr>
                <w:rFonts w:ascii="Arial" w:hAnsi="Arial"/>
                <w:b/>
                <w:color w:val="FFFFFF"/>
                <w:sz w:val="18"/>
              </w:rPr>
              <w:t>Handbook source area</w:t>
            </w:r>
          </w:p>
        </w:tc>
      </w:tr>
      <w:tr>
        <w:tc>
          <w:tcPr>
            <w:tcW w:type="dxa" w:w="3600"/>
            <w:vAlign w:val="top"/>
          </w:tcPr>
          <w:p>
            <w:pPr>
              <w:jc w:val="left"/>
            </w:pPr>
            <w:r/>
            <w:r>
              <w:rPr>
                <w:rFonts w:ascii="Arial" w:hAnsi="Arial"/>
                <w:b w:val="0"/>
                <w:sz w:val="18"/>
              </w:rPr>
              <w:t>Pre-shoot / shoot-day workflow</w:t>
            </w:r>
          </w:p>
        </w:tc>
        <w:tc>
          <w:tcPr>
            <w:tcW w:type="dxa" w:w="6192"/>
            <w:vAlign w:val="top"/>
          </w:tcPr>
          <w:p>
            <w:pPr>
              <w:jc w:val="left"/>
            </w:pPr>
            <w:r/>
            <w:r>
              <w:rPr>
                <w:rFonts w:ascii="Arial" w:hAnsi="Arial"/>
                <w:b w:val="0"/>
                <w:sz w:val="18"/>
              </w:rPr>
              <w:t>Chapters 29-30, pp. 241-258.</w:t>
            </w:r>
          </w:p>
        </w:tc>
      </w:tr>
      <w:tr>
        <w:tc>
          <w:tcPr>
            <w:tcW w:type="dxa" w:w="3600"/>
            <w:vAlign w:val="top"/>
          </w:tcPr>
          <w:p>
            <w:pPr>
              <w:jc w:val="left"/>
            </w:pPr>
            <w:r/>
            <w:r>
              <w:rPr>
                <w:rFonts w:ascii="Arial" w:hAnsi="Arial"/>
                <w:b w:val="0"/>
                <w:sz w:val="18"/>
              </w:rPr>
              <w:t>File naming and logging</w:t>
            </w:r>
          </w:p>
        </w:tc>
        <w:tc>
          <w:tcPr>
            <w:tcW w:type="dxa" w:w="6192"/>
            <w:vAlign w:val="top"/>
          </w:tcPr>
          <w:p>
            <w:pPr>
              <w:jc w:val="left"/>
            </w:pPr>
            <w:r/>
            <w:r>
              <w:rPr>
                <w:rFonts w:ascii="Arial" w:hAnsi="Arial"/>
                <w:b w:val="0"/>
                <w:sz w:val="18"/>
              </w:rPr>
              <w:t>Chapters 31-35, pp. 259-296.</w:t>
            </w:r>
          </w:p>
        </w:tc>
      </w:tr>
      <w:tr>
        <w:tc>
          <w:tcPr>
            <w:tcW w:type="dxa" w:w="3600"/>
            <w:vAlign w:val="top"/>
          </w:tcPr>
          <w:p>
            <w:pPr>
              <w:jc w:val="left"/>
            </w:pPr>
            <w:r/>
            <w:r>
              <w:rPr>
                <w:rFonts w:ascii="Arial" w:hAnsi="Arial"/>
                <w:b w:val="0"/>
                <w:sz w:val="18"/>
              </w:rPr>
              <w:t>Offload and backup</w:t>
            </w:r>
          </w:p>
        </w:tc>
        <w:tc>
          <w:tcPr>
            <w:tcW w:type="dxa" w:w="6192"/>
            <w:vAlign w:val="top"/>
          </w:tcPr>
          <w:p>
            <w:pPr>
              <w:jc w:val="left"/>
            </w:pPr>
            <w:r/>
            <w:r>
              <w:rPr>
                <w:rFonts w:ascii="Arial" w:hAnsi="Arial"/>
                <w:b w:val="0"/>
                <w:sz w:val="18"/>
              </w:rPr>
              <w:t>Chapter 36, pp. 297-307 and Appendix J.</w:t>
            </w:r>
          </w:p>
        </w:tc>
      </w:tr>
      <w:tr>
        <w:tc>
          <w:tcPr>
            <w:tcW w:type="dxa" w:w="3600"/>
            <w:vAlign w:val="top"/>
          </w:tcPr>
          <w:p>
            <w:pPr>
              <w:jc w:val="left"/>
            </w:pPr>
            <w:r/>
            <w:r>
              <w:rPr>
                <w:rFonts w:ascii="Arial" w:hAnsi="Arial"/>
                <w:b w:val="0"/>
                <w:sz w:val="18"/>
              </w:rPr>
              <w:t>Large card / storage management</w:t>
            </w:r>
          </w:p>
        </w:tc>
        <w:tc>
          <w:tcPr>
            <w:tcW w:type="dxa" w:w="6192"/>
            <w:vAlign w:val="top"/>
          </w:tcPr>
          <w:p>
            <w:pPr>
              <w:jc w:val="left"/>
            </w:pPr>
            <w:r/>
            <w:r>
              <w:rPr>
                <w:rFonts w:ascii="Arial" w:hAnsi="Arial"/>
                <w:b w:val="0"/>
                <w:sz w:val="18"/>
              </w:rPr>
              <w:t>Chapter 37, pp. 308-313.</w:t>
            </w:r>
          </w:p>
        </w:tc>
      </w:tr>
      <w:tr>
        <w:tc>
          <w:tcPr>
            <w:tcW w:type="dxa" w:w="3600"/>
            <w:vAlign w:val="top"/>
          </w:tcPr>
          <w:p>
            <w:pPr>
              <w:jc w:val="left"/>
            </w:pPr>
            <w:r/>
            <w:r>
              <w:rPr>
                <w:rFonts w:ascii="Arial" w:hAnsi="Arial"/>
                <w:b w:val="0"/>
                <w:sz w:val="18"/>
              </w:rPr>
              <w:t>Resolve/Premiere import and audio-channel workflow</w:t>
            </w:r>
          </w:p>
        </w:tc>
        <w:tc>
          <w:tcPr>
            <w:tcW w:type="dxa" w:w="6192"/>
            <w:vAlign w:val="top"/>
          </w:tcPr>
          <w:p>
            <w:pPr>
              <w:jc w:val="left"/>
            </w:pPr>
            <w:r/>
            <w:r>
              <w:rPr>
                <w:rFonts w:ascii="Arial" w:hAnsi="Arial"/>
                <w:b w:val="0"/>
                <w:sz w:val="18"/>
              </w:rPr>
              <w:t>Chapter 38, pp. 314-321 and Appendix K.</w:t>
            </w:r>
          </w:p>
        </w:tc>
      </w:tr>
      <w:tr>
        <w:tc>
          <w:tcPr>
            <w:tcW w:type="dxa" w:w="3600"/>
            <w:vAlign w:val="top"/>
          </w:tcPr>
          <w:p>
            <w:pPr>
              <w:jc w:val="left"/>
            </w:pPr>
            <w:r/>
            <w:r>
              <w:rPr>
                <w:rFonts w:ascii="Arial" w:hAnsi="Arial"/>
                <w:b w:val="0"/>
                <w:sz w:val="18"/>
              </w:rPr>
              <w:t>Proxy, storage, archive planning</w:t>
            </w:r>
          </w:p>
        </w:tc>
        <w:tc>
          <w:tcPr>
            <w:tcW w:type="dxa" w:w="6192"/>
            <w:vAlign w:val="top"/>
          </w:tcPr>
          <w:p>
            <w:pPr>
              <w:jc w:val="left"/>
            </w:pPr>
            <w:r/>
            <w:r>
              <w:rPr>
                <w:rFonts w:ascii="Arial" w:hAnsi="Arial"/>
                <w:b w:val="0"/>
                <w:sz w:val="18"/>
              </w:rPr>
              <w:t>Chapter 39, pp. 322-331.</w:t>
            </w:r>
          </w:p>
        </w:tc>
      </w:tr>
      <w:tr>
        <w:tc>
          <w:tcPr>
            <w:tcW w:type="dxa" w:w="3600"/>
            <w:vAlign w:val="top"/>
          </w:tcPr>
          <w:p>
            <w:pPr>
              <w:jc w:val="left"/>
            </w:pPr>
            <w:r/>
            <w:r>
              <w:rPr>
                <w:rFonts w:ascii="Arial" w:hAnsi="Arial"/>
                <w:b w:val="0"/>
                <w:sz w:val="18"/>
              </w:rPr>
              <w:t>Created deliverables and templates</w:t>
            </w:r>
          </w:p>
        </w:tc>
        <w:tc>
          <w:tcPr>
            <w:tcW w:type="dxa" w:w="6192"/>
            <w:vAlign w:val="top"/>
          </w:tcPr>
          <w:p>
            <w:pPr>
              <w:jc w:val="left"/>
            </w:pPr>
            <w:r/>
            <w:r>
              <w:rPr>
                <w:rFonts w:ascii="Arial" w:hAnsi="Arial"/>
                <w:b w:val="0"/>
                <w:sz w:val="18"/>
              </w:rPr>
              <w:t>Chapter 40, pp. 331-339.</w:t>
            </w:r>
          </w:p>
        </w:tc>
      </w:tr>
      <w:tr>
        <w:tc>
          <w:tcPr>
            <w:tcW w:type="dxa" w:w="3600"/>
            <w:vAlign w:val="top"/>
          </w:tcPr>
          <w:p>
            <w:pPr>
              <w:jc w:val="left"/>
            </w:pPr>
            <w:r/>
            <w:r>
              <w:rPr>
                <w:rFonts w:ascii="Arial" w:hAnsi="Arial"/>
                <w:b w:val="0"/>
                <w:sz w:val="18"/>
              </w:rPr>
              <w:t>File naming quick reference</w:t>
            </w:r>
          </w:p>
        </w:tc>
        <w:tc>
          <w:tcPr>
            <w:tcW w:type="dxa" w:w="6192"/>
            <w:vAlign w:val="top"/>
          </w:tcPr>
          <w:p>
            <w:pPr>
              <w:jc w:val="left"/>
            </w:pPr>
            <w:r/>
            <w:r>
              <w:rPr>
                <w:rFonts w:ascii="Arial" w:hAnsi="Arial"/>
                <w:b w:val="0"/>
                <w:sz w:val="18"/>
              </w:rPr>
              <w:t>Appendix I.</w:t>
            </w:r>
          </w:p>
        </w:tc>
      </w:tr>
      <w:tr>
        <w:tc>
          <w:tcPr>
            <w:tcW w:type="dxa" w:w="3600"/>
            <w:vAlign w:val="top"/>
          </w:tcPr>
          <w:p>
            <w:pPr>
              <w:jc w:val="left"/>
            </w:pPr>
            <w:r/>
            <w:r>
              <w:rPr>
                <w:rFonts w:ascii="Arial" w:hAnsi="Arial"/>
                <w:b w:val="0"/>
                <w:sz w:val="18"/>
              </w:rPr>
              <w:t>Ignored pages</w:t>
            </w:r>
          </w:p>
        </w:tc>
        <w:tc>
          <w:tcPr>
            <w:tcW w:type="dxa" w:w="6192"/>
            <w:vAlign w:val="top"/>
          </w:tcPr>
          <w:p>
            <w:pPr>
              <w:jc w:val="left"/>
            </w:pPr>
            <w:r/>
            <w:r>
              <w:rPr>
                <w:rFonts w:ascii="Arial" w:hAnsi="Arial"/>
                <w:b w:val="0"/>
                <w:sz w:val="18"/>
              </w:rPr>
              <w:t>Pages 381-384 excluded by project instruction.</w:t>
            </w:r>
          </w:p>
        </w:tc>
      </w:tr>
    </w:tbl>
    <w:p/>
    <w:sectPr w:rsidR="00FC693F" w:rsidRPr="0006063C" w:rsidSect="00034616">
      <w:footerReference w:type="default" r:id="rId9"/>
      <w:pgSz w:w="12240" w:h="15840"/>
      <w:pgMar w:top="792" w:right="936" w:bottom="792" w:left="93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Arial" w:hAnsi="Arial"/>
        <w:color w:val="646464"/>
        <w:sz w:val="15"/>
      </w:rPr>
      <w:t>FX6 Post  Media Safety Guide V1 | V1 | Canon source untouched | Audio: external FX6 Audio Field Setup Guide</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rial" w:hAnsi="Arial"/>
      <w:b/>
      <w:bCs/>
      <w:color w:val="365F91" w:themeColor="accent1" w:themeShade="BF"/>
      <w:sz w:val="30"/>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rial" w:hAnsi="Arial"/>
      <w:b/>
      <w:bCs/>
      <w:color w:val="4F81BD" w:themeColor="accent1"/>
      <w:sz w:val="24"/>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rial" w:hAnsi="Arial"/>
      <w:b/>
      <w:bCs/>
      <w:color w:val="4F81BD" w:themeColor="accent1"/>
      <w:sz w:val="2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rial" w:hAnsi="Arial"/>
      <w:color w:val="17365D" w:themeColor="text2" w:themeShade="BF"/>
      <w:spacing w:val="5"/>
      <w:kern w:val="28"/>
      <w:sz w:val="44"/>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