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rial" w:hAnsi="Arial"/>
          <w:b/>
          <w:color w:val="1F3D58"/>
          <w:sz w:val="44"/>
        </w:rPr>
        <w:t>FX6 Full Handbook Index and Decision Tree V1</w:t>
      </w:r>
    </w:p>
    <w:p>
      <w:pPr>
        <w:jc w:val="center"/>
      </w:pPr>
      <w:r>
        <w:rPr>
          <w:rFonts w:ascii="Arial" w:hAnsi="Arial"/>
          <w:i/>
          <w:color w:val="505050"/>
          <w:sz w:val="22"/>
        </w:rPr>
        <w:t>Extraction from FX6 Cine EI Muted-Color Shooting System - Working Baseline</w:t>
      </w:r>
    </w:p>
    <w:p/>
    <w:tbl>
      <w:tblPr>
        <w:tblW w:type="auto" w:w="0"/>
        <w:jc w:val="center"/>
        <w:tblLook w:firstColumn="1" w:firstRow="1" w:lastColumn="0" w:lastRow="0" w:noHBand="0" w:noVBand="1" w:val="04A0"/>
      </w:tblPr>
      <w:tblGrid>
        <w:gridCol w:w="10368"/>
      </w:tblGrid>
      <w:tr>
        <w:tc>
          <w:tcPr>
            <w:tcW w:type="dxa" w:w="10368"/>
            <w:shd w:fill="EEF3F7"/>
          </w:tcPr>
          <w:p>
            <w:r>
              <w:rPr>
                <w:rFonts w:ascii="Arial" w:hAnsi="Arial"/>
                <w:b/>
                <w:sz w:val="18"/>
              </w:rPr>
              <w:t xml:space="preserve">Control Note: </w:t>
            </w:r>
            <w:r>
              <w:rPr>
                <w:rFonts w:ascii="Arial" w:hAnsi="Arial"/>
                <w:sz w:val="18"/>
              </w:rPr>
              <w:t>Derived extraction document. Source project: FX6 Final Audio Settings + Cine EI Muted-Color Shooting System. Source document chain: Canonized Master TOC and Handbook V1.0 plus current Working Baseline used as extraction source. Canon source untouched. Operational audio setup is deferred to the external FX6 Audio Field Setup Guide. Pages 381-384 of the working source are ignored for extraction work.</w:t>
            </w:r>
          </w:p>
        </w:tc>
      </w:tr>
    </w:tbl>
    <w:p/>
    <w:tbl>
      <w:tblPr>
        <w:tblStyle w:val="TableGrid"/>
        <w:tblW w:type="auto" w:w="0"/>
        <w:jc w:val="center"/>
        <w:tblLook w:firstColumn="1" w:firstRow="1" w:lastColumn="0" w:lastRow="0" w:noHBand="0" w:noVBand="1" w:val="04A0"/>
      </w:tblPr>
      <w:tblGrid>
        <w:gridCol w:w="5184"/>
        <w:gridCol w:w="5184"/>
      </w:tblGrid>
      <w:tr>
        <w:tc>
          <w:tcPr>
            <w:tcW w:type="dxa" w:w="2520"/>
            <w:shd w:fill="1F4E79"/>
            <w:vAlign w:val="top"/>
          </w:tcPr>
          <w:p>
            <w:pPr>
              <w:jc w:val="left"/>
            </w:pPr>
            <w:r/>
            <w:r>
              <w:rPr>
                <w:rFonts w:ascii="Arial" w:hAnsi="Arial"/>
                <w:b/>
                <w:color w:val="FFFFFF"/>
                <w:sz w:val="18"/>
              </w:rPr>
              <w:t>Control Item</w:t>
            </w:r>
          </w:p>
        </w:tc>
        <w:tc>
          <w:tcPr>
            <w:tcW w:type="dxa" w:w="8352"/>
            <w:shd w:fill="1F4E79"/>
            <w:vAlign w:val="top"/>
          </w:tcPr>
          <w:p>
            <w:pPr>
              <w:jc w:val="left"/>
            </w:pPr>
            <w:r/>
            <w:r>
              <w:rPr>
                <w:rFonts w:ascii="Arial" w:hAnsi="Arial"/>
                <w:b/>
                <w:color w:val="FFFFFF"/>
                <w:sz w:val="18"/>
              </w:rPr>
              <w:t>Status / Use</w:t>
            </w:r>
          </w:p>
        </w:tc>
      </w:tr>
      <w:tr>
        <w:tc>
          <w:tcPr>
            <w:tcW w:type="dxa" w:w="2520"/>
            <w:vAlign w:val="top"/>
          </w:tcPr>
          <w:p>
            <w:pPr>
              <w:jc w:val="left"/>
            </w:pPr>
            <w:r/>
            <w:r>
              <w:rPr>
                <w:rFonts w:ascii="Arial" w:hAnsi="Arial"/>
                <w:b w:val="0"/>
                <w:sz w:val="18"/>
              </w:rPr>
              <w:t>Purpose</w:t>
            </w:r>
          </w:p>
        </w:tc>
        <w:tc>
          <w:tcPr>
            <w:tcW w:type="dxa" w:w="8352"/>
            <w:vAlign w:val="top"/>
          </w:tcPr>
          <w:p>
            <w:pPr>
              <w:jc w:val="left"/>
            </w:pPr>
            <w:r/>
            <w:r>
              <w:rPr>
                <w:rFonts w:ascii="Arial" w:hAnsi="Arial"/>
                <w:b w:val="0"/>
                <w:sz w:val="18"/>
              </w:rPr>
              <w:t>A fast routing document that tells the operator where to go in the full Handbook when a problem or task appears.</w:t>
            </w:r>
          </w:p>
        </w:tc>
      </w:tr>
      <w:tr>
        <w:tc>
          <w:tcPr>
            <w:tcW w:type="dxa" w:w="2520"/>
            <w:vAlign w:val="top"/>
          </w:tcPr>
          <w:p>
            <w:pPr>
              <w:jc w:val="left"/>
            </w:pPr>
            <w:r/>
            <w:r>
              <w:rPr>
                <w:rFonts w:ascii="Arial" w:hAnsi="Arial"/>
                <w:b w:val="0"/>
                <w:sz w:val="18"/>
              </w:rPr>
              <w:t>Scope</w:t>
            </w:r>
          </w:p>
        </w:tc>
        <w:tc>
          <w:tcPr>
            <w:tcW w:type="dxa" w:w="8352"/>
            <w:vAlign w:val="top"/>
          </w:tcPr>
          <w:p>
            <w:pPr>
              <w:jc w:val="left"/>
            </w:pPr>
            <w:r/>
            <w:r>
              <w:rPr>
                <w:rFonts w:ascii="Arial" w:hAnsi="Arial"/>
                <w:b w:val="0"/>
                <w:sz w:val="18"/>
              </w:rPr>
              <w:t>Camera, monitoring, muted-color, lighting, shoot-day, post/media, and audio authority routing.</w:t>
            </w:r>
          </w:p>
        </w:tc>
      </w:tr>
      <w:tr>
        <w:tc>
          <w:tcPr>
            <w:tcW w:type="dxa" w:w="2520"/>
            <w:vAlign w:val="top"/>
          </w:tcPr>
          <w:p>
            <w:pPr>
              <w:jc w:val="left"/>
            </w:pPr>
            <w:r/>
            <w:r>
              <w:rPr>
                <w:rFonts w:ascii="Arial" w:hAnsi="Arial"/>
                <w:b w:val="0"/>
                <w:sz w:val="18"/>
              </w:rPr>
              <w:t>Primary refs</w:t>
            </w:r>
          </w:p>
        </w:tc>
        <w:tc>
          <w:tcPr>
            <w:tcW w:type="dxa" w:w="8352"/>
            <w:vAlign w:val="top"/>
          </w:tcPr>
          <w:p>
            <w:pPr>
              <w:jc w:val="left"/>
            </w:pPr>
            <w:r/>
            <w:r>
              <w:rPr>
                <w:rFonts w:ascii="Arial" w:hAnsi="Arial"/>
                <w:b w:val="0"/>
                <w:sz w:val="18"/>
              </w:rPr>
              <w:t>Summary Guide Section 14 and Working Baseline field-map/navigation layer.</w:t>
            </w:r>
          </w:p>
        </w:tc>
      </w:tr>
    </w:tbl>
    <w:p/>
    <w:tbl>
      <w:tblPr>
        <w:tblW w:type="auto" w:w="0"/>
        <w:jc w:val="center"/>
        <w:tblLook w:firstColumn="1" w:firstRow="1" w:lastColumn="0" w:lastRow="0" w:noHBand="0" w:noVBand="1" w:val="04A0"/>
      </w:tblPr>
      <w:tblGrid>
        <w:gridCol w:w="10368"/>
      </w:tblGrid>
      <w:tr>
        <w:tc>
          <w:tcPr>
            <w:tcW w:type="dxa" w:w="10368"/>
            <w:shd w:fill="FFF2CC"/>
          </w:tcPr>
          <w:p>
            <w:r>
              <w:rPr>
                <w:rFonts w:ascii="Arial" w:hAnsi="Arial"/>
                <w:b/>
                <w:sz w:val="19"/>
              </w:rPr>
              <w:t xml:space="preserve">Master Field Rule: </w:t>
            </w:r>
            <w:r>
              <w:rPr>
                <w:rFonts w:ascii="Arial" w:hAnsi="Arial"/>
                <w:sz w:val="19"/>
              </w:rPr>
              <w:t>Expose cleanly. Light selectively. Monitor accurately. Record clean S-Log3. Grade carefully. Do not underexpose S-Log3 to create mood.</w:t>
            </w:r>
          </w:p>
        </w:tc>
      </w:tr>
    </w:tbl>
    <w:p/>
    <w:p>
      <w:r>
        <w:br w:type="page"/>
      </w:r>
    </w:p>
    <w:p>
      <w:pPr>
        <w:pStyle w:val="Heading1"/>
      </w:pPr>
      <w:r>
        <w:t>Manual Table of Contents</w:t>
      </w:r>
    </w:p>
    <w:tbl>
      <w:tblPr>
        <w:tblStyle w:val="TableGrid"/>
        <w:tblW w:type="auto" w:w="0"/>
        <w:jc w:val="center"/>
        <w:tblLook w:firstColumn="1" w:firstRow="1" w:lastColumn="0" w:lastRow="0" w:noHBand="0" w:noVBand="1" w:val="04A0"/>
      </w:tblPr>
      <w:tblGrid>
        <w:gridCol w:w="5184"/>
        <w:gridCol w:w="5184"/>
      </w:tblGrid>
      <w:tr>
        <w:tc>
          <w:tcPr>
            <w:tcW w:type="dxa" w:w="1296"/>
            <w:shd w:fill="1F4E79"/>
            <w:vAlign w:val="top"/>
          </w:tcPr>
          <w:p>
            <w:pPr>
              <w:jc w:val="left"/>
            </w:pPr>
            <w:r/>
            <w:r>
              <w:rPr>
                <w:rFonts w:ascii="Arial" w:hAnsi="Arial"/>
                <w:b/>
                <w:color w:val="FFFFFF"/>
                <w:sz w:val="18"/>
              </w:rPr>
              <w:t>Section</w:t>
            </w:r>
          </w:p>
        </w:tc>
        <w:tc>
          <w:tcPr>
            <w:tcW w:type="dxa" w:w="8496"/>
            <w:shd w:fill="1F4E79"/>
            <w:vAlign w:val="top"/>
          </w:tcPr>
          <w:p>
            <w:pPr>
              <w:jc w:val="left"/>
            </w:pPr>
            <w:r/>
            <w:r>
              <w:rPr>
                <w:rFonts w:ascii="Arial" w:hAnsi="Arial"/>
                <w:b/>
                <w:color w:val="FFFFFF"/>
                <w:sz w:val="18"/>
              </w:rPr>
              <w:t>Title</w:t>
            </w:r>
          </w:p>
        </w:tc>
      </w:tr>
      <w:tr>
        <w:tc>
          <w:tcPr>
            <w:tcW w:type="dxa" w:w="1296"/>
            <w:vAlign w:val="top"/>
          </w:tcPr>
          <w:p>
            <w:pPr>
              <w:jc w:val="left"/>
            </w:pPr>
            <w:r/>
            <w:r>
              <w:rPr>
                <w:rFonts w:ascii="Arial" w:hAnsi="Arial"/>
                <w:b w:val="0"/>
                <w:sz w:val="18"/>
              </w:rPr>
              <w:t>1</w:t>
            </w:r>
          </w:p>
        </w:tc>
        <w:tc>
          <w:tcPr>
            <w:tcW w:type="dxa" w:w="8496"/>
            <w:vAlign w:val="top"/>
          </w:tcPr>
          <w:p>
            <w:pPr>
              <w:jc w:val="left"/>
            </w:pPr>
            <w:r/>
            <w:r>
              <w:rPr>
                <w:rFonts w:ascii="Arial" w:hAnsi="Arial"/>
                <w:b w:val="0"/>
                <w:sz w:val="18"/>
              </w:rPr>
              <w:t>Start here decision tree</w:t>
            </w:r>
          </w:p>
        </w:tc>
      </w:tr>
      <w:tr>
        <w:tc>
          <w:tcPr>
            <w:tcW w:type="dxa" w:w="1296"/>
            <w:vAlign w:val="top"/>
          </w:tcPr>
          <w:p>
            <w:pPr>
              <w:jc w:val="left"/>
            </w:pPr>
            <w:r/>
            <w:r>
              <w:rPr>
                <w:rFonts w:ascii="Arial" w:hAnsi="Arial"/>
                <w:b w:val="0"/>
                <w:sz w:val="18"/>
              </w:rPr>
              <w:t>2</w:t>
            </w:r>
          </w:p>
        </w:tc>
        <w:tc>
          <w:tcPr>
            <w:tcW w:type="dxa" w:w="8496"/>
            <w:vAlign w:val="top"/>
          </w:tcPr>
          <w:p>
            <w:pPr>
              <w:jc w:val="left"/>
            </w:pPr>
            <w:r/>
            <w:r>
              <w:rPr>
                <w:rFonts w:ascii="Arial" w:hAnsi="Arial"/>
                <w:b w:val="0"/>
                <w:sz w:val="18"/>
              </w:rPr>
              <w:t>Camera setup routing</w:t>
            </w:r>
          </w:p>
        </w:tc>
      </w:tr>
      <w:tr>
        <w:tc>
          <w:tcPr>
            <w:tcW w:type="dxa" w:w="1296"/>
            <w:vAlign w:val="top"/>
          </w:tcPr>
          <w:p>
            <w:pPr>
              <w:jc w:val="left"/>
            </w:pPr>
            <w:r/>
            <w:r>
              <w:rPr>
                <w:rFonts w:ascii="Arial" w:hAnsi="Arial"/>
                <w:b w:val="0"/>
                <w:sz w:val="18"/>
              </w:rPr>
              <w:t>3</w:t>
            </w:r>
          </w:p>
        </w:tc>
        <w:tc>
          <w:tcPr>
            <w:tcW w:type="dxa" w:w="8496"/>
            <w:vAlign w:val="top"/>
          </w:tcPr>
          <w:p>
            <w:pPr>
              <w:jc w:val="left"/>
            </w:pPr>
            <w:r/>
            <w:r>
              <w:rPr>
                <w:rFonts w:ascii="Arial" w:hAnsi="Arial"/>
                <w:b w:val="0"/>
                <w:sz w:val="18"/>
              </w:rPr>
              <w:t>Exposure / EI / ND / WB routing</w:t>
            </w:r>
          </w:p>
        </w:tc>
      </w:tr>
      <w:tr>
        <w:tc>
          <w:tcPr>
            <w:tcW w:type="dxa" w:w="1296"/>
            <w:vAlign w:val="top"/>
          </w:tcPr>
          <w:p>
            <w:pPr>
              <w:jc w:val="left"/>
            </w:pPr>
            <w:r/>
            <w:r>
              <w:rPr>
                <w:rFonts w:ascii="Arial" w:hAnsi="Arial"/>
                <w:b w:val="0"/>
                <w:sz w:val="18"/>
              </w:rPr>
              <w:t>4</w:t>
            </w:r>
          </w:p>
        </w:tc>
        <w:tc>
          <w:tcPr>
            <w:tcW w:type="dxa" w:w="8496"/>
            <w:vAlign w:val="top"/>
          </w:tcPr>
          <w:p>
            <w:pPr>
              <w:jc w:val="left"/>
            </w:pPr>
            <w:r/>
            <w:r>
              <w:rPr>
                <w:rFonts w:ascii="Arial" w:hAnsi="Arial"/>
                <w:b w:val="0"/>
                <w:sz w:val="18"/>
              </w:rPr>
              <w:t>LUT / monitor / settings-card routing</w:t>
            </w:r>
          </w:p>
        </w:tc>
      </w:tr>
      <w:tr>
        <w:tc>
          <w:tcPr>
            <w:tcW w:type="dxa" w:w="1296"/>
            <w:vAlign w:val="top"/>
          </w:tcPr>
          <w:p>
            <w:pPr>
              <w:jc w:val="left"/>
            </w:pPr>
            <w:r/>
            <w:r>
              <w:rPr>
                <w:rFonts w:ascii="Arial" w:hAnsi="Arial"/>
                <w:b w:val="0"/>
                <w:sz w:val="18"/>
              </w:rPr>
              <w:t>5</w:t>
            </w:r>
          </w:p>
        </w:tc>
        <w:tc>
          <w:tcPr>
            <w:tcW w:type="dxa" w:w="8496"/>
            <w:vAlign w:val="top"/>
          </w:tcPr>
          <w:p>
            <w:pPr>
              <w:jc w:val="left"/>
            </w:pPr>
            <w:r/>
            <w:r>
              <w:rPr>
                <w:rFonts w:ascii="Arial" w:hAnsi="Arial"/>
                <w:b w:val="0"/>
                <w:sz w:val="18"/>
              </w:rPr>
              <w:t>Muted-color visual routing</w:t>
            </w:r>
          </w:p>
        </w:tc>
      </w:tr>
      <w:tr>
        <w:tc>
          <w:tcPr>
            <w:tcW w:type="dxa" w:w="1296"/>
            <w:vAlign w:val="top"/>
          </w:tcPr>
          <w:p>
            <w:pPr>
              <w:jc w:val="left"/>
            </w:pPr>
            <w:r/>
            <w:r>
              <w:rPr>
                <w:rFonts w:ascii="Arial" w:hAnsi="Arial"/>
                <w:b w:val="0"/>
                <w:sz w:val="18"/>
              </w:rPr>
              <w:t>6</w:t>
            </w:r>
          </w:p>
        </w:tc>
        <w:tc>
          <w:tcPr>
            <w:tcW w:type="dxa" w:w="8496"/>
            <w:vAlign w:val="top"/>
          </w:tcPr>
          <w:p>
            <w:pPr>
              <w:jc w:val="left"/>
            </w:pPr>
            <w:r/>
            <w:r>
              <w:rPr>
                <w:rFonts w:ascii="Arial" w:hAnsi="Arial"/>
                <w:b w:val="0"/>
                <w:sz w:val="18"/>
              </w:rPr>
              <w:t>Scenario routing</w:t>
            </w:r>
          </w:p>
        </w:tc>
      </w:tr>
      <w:tr>
        <w:tc>
          <w:tcPr>
            <w:tcW w:type="dxa" w:w="1296"/>
            <w:vAlign w:val="top"/>
          </w:tcPr>
          <w:p>
            <w:pPr>
              <w:jc w:val="left"/>
            </w:pPr>
            <w:r/>
            <w:r>
              <w:rPr>
                <w:rFonts w:ascii="Arial" w:hAnsi="Arial"/>
                <w:b w:val="0"/>
                <w:sz w:val="18"/>
              </w:rPr>
              <w:t>7</w:t>
            </w:r>
          </w:p>
        </w:tc>
        <w:tc>
          <w:tcPr>
            <w:tcW w:type="dxa" w:w="8496"/>
            <w:vAlign w:val="top"/>
          </w:tcPr>
          <w:p>
            <w:pPr>
              <w:jc w:val="left"/>
            </w:pPr>
            <w:r/>
            <w:r>
              <w:rPr>
                <w:rFonts w:ascii="Arial" w:hAnsi="Arial"/>
                <w:b w:val="0"/>
                <w:sz w:val="18"/>
              </w:rPr>
              <w:t>Post/media routing</w:t>
            </w:r>
          </w:p>
        </w:tc>
      </w:tr>
      <w:tr>
        <w:tc>
          <w:tcPr>
            <w:tcW w:type="dxa" w:w="1296"/>
            <w:vAlign w:val="top"/>
          </w:tcPr>
          <w:p>
            <w:pPr>
              <w:jc w:val="left"/>
            </w:pPr>
            <w:r/>
            <w:r>
              <w:rPr>
                <w:rFonts w:ascii="Arial" w:hAnsi="Arial"/>
                <w:b w:val="0"/>
                <w:sz w:val="18"/>
              </w:rPr>
              <w:t>8</w:t>
            </w:r>
          </w:p>
        </w:tc>
        <w:tc>
          <w:tcPr>
            <w:tcW w:type="dxa" w:w="8496"/>
            <w:vAlign w:val="top"/>
          </w:tcPr>
          <w:p>
            <w:pPr>
              <w:jc w:val="left"/>
            </w:pPr>
            <w:r/>
            <w:r>
              <w:rPr>
                <w:rFonts w:ascii="Arial" w:hAnsi="Arial"/>
                <w:b w:val="0"/>
                <w:sz w:val="18"/>
              </w:rPr>
              <w:t>Emergency troubleshooting routing</w:t>
            </w:r>
          </w:p>
        </w:tc>
      </w:tr>
      <w:tr>
        <w:tc>
          <w:tcPr>
            <w:tcW w:type="dxa" w:w="1296"/>
            <w:vAlign w:val="top"/>
          </w:tcPr>
          <w:p>
            <w:pPr>
              <w:jc w:val="left"/>
            </w:pPr>
            <w:r/>
            <w:r>
              <w:rPr>
                <w:rFonts w:ascii="Arial" w:hAnsi="Arial"/>
                <w:b w:val="0"/>
                <w:sz w:val="18"/>
              </w:rPr>
              <w:t>9</w:t>
            </w:r>
          </w:p>
        </w:tc>
        <w:tc>
          <w:tcPr>
            <w:tcW w:type="dxa" w:w="8496"/>
            <w:vAlign w:val="top"/>
          </w:tcPr>
          <w:p>
            <w:pPr>
              <w:jc w:val="left"/>
            </w:pPr>
            <w:r/>
            <w:r>
              <w:rPr>
                <w:rFonts w:ascii="Arial" w:hAnsi="Arial"/>
                <w:b w:val="0"/>
                <w:sz w:val="18"/>
              </w:rPr>
              <w:t>Source map</w:t>
            </w:r>
          </w:p>
        </w:tc>
      </w:tr>
    </w:tbl>
    <w:p/>
    <w:p>
      <w:r>
        <w:br w:type="page"/>
      </w:r>
    </w:p>
    <w:p>
      <w:pPr>
        <w:pStyle w:val="Heading1"/>
      </w:pPr>
      <w:r>
        <w:t>1. Start Here Decision Tree</w:t>
      </w:r>
    </w:p>
    <w:tbl>
      <w:tblPr>
        <w:tblStyle w:val="TableGrid"/>
        <w:tblW w:type="auto" w:w="0"/>
        <w:jc w:val="center"/>
        <w:tblLook w:firstColumn="1" w:firstRow="1" w:lastColumn="0" w:lastRow="0" w:noHBand="0" w:noVBand="1" w:val="04A0"/>
      </w:tblPr>
      <w:tblGrid>
        <w:gridCol w:w="5184"/>
        <w:gridCol w:w="5184"/>
      </w:tblGrid>
      <w:tr>
        <w:tc>
          <w:tcPr>
            <w:tcW w:type="dxa" w:w="3528"/>
            <w:shd w:fill="1F4E79"/>
            <w:vAlign w:val="top"/>
          </w:tcPr>
          <w:p>
            <w:pPr>
              <w:jc w:val="left"/>
            </w:pPr>
            <w:r/>
            <w:r>
              <w:rPr>
                <w:rFonts w:ascii="Arial" w:hAnsi="Arial"/>
                <w:b/>
                <w:color w:val="FFFFFF"/>
                <w:sz w:val="17"/>
              </w:rPr>
              <w:t>I need to...</w:t>
            </w:r>
          </w:p>
        </w:tc>
        <w:tc>
          <w:tcPr>
            <w:tcW w:type="dxa" w:w="6264"/>
            <w:shd w:fill="1F4E79"/>
            <w:vAlign w:val="top"/>
          </w:tcPr>
          <w:p>
            <w:pPr>
              <w:jc w:val="left"/>
            </w:pPr>
            <w:r/>
            <w:r>
              <w:rPr>
                <w:rFonts w:ascii="Arial" w:hAnsi="Arial"/>
                <w:b/>
                <w:color w:val="FFFFFF"/>
                <w:sz w:val="17"/>
              </w:rPr>
              <w:t>Go to...</w:t>
            </w:r>
          </w:p>
        </w:tc>
      </w:tr>
      <w:tr>
        <w:tc>
          <w:tcPr>
            <w:tcW w:type="dxa" w:w="3528"/>
            <w:vAlign w:val="top"/>
          </w:tcPr>
          <w:p>
            <w:pPr>
              <w:jc w:val="left"/>
            </w:pPr>
            <w:r/>
            <w:r>
              <w:rPr>
                <w:rFonts w:ascii="Arial" w:hAnsi="Arial"/>
                <w:b w:val="0"/>
                <w:sz w:val="17"/>
              </w:rPr>
              <w:t>Set up one RØDE lav</w:t>
            </w:r>
          </w:p>
        </w:tc>
        <w:tc>
          <w:tcPr>
            <w:tcW w:type="dxa" w:w="6264"/>
            <w:vAlign w:val="top"/>
          </w:tcPr>
          <w:p>
            <w:pPr>
              <w:jc w:val="left"/>
            </w:pPr>
            <w:r/>
            <w:r>
              <w:rPr>
                <w:rFonts w:ascii="Arial" w:hAnsi="Arial"/>
                <w:b w:val="0"/>
                <w:sz w:val="17"/>
              </w:rPr>
              <w:t>External FX6 Audio Field Setup Guide for current operational audio. Historical Handbook background: one-transmitter baseline and Appendix A.</w:t>
            </w:r>
          </w:p>
        </w:tc>
      </w:tr>
      <w:tr>
        <w:tc>
          <w:tcPr>
            <w:tcW w:type="dxa" w:w="3528"/>
            <w:vAlign w:val="top"/>
          </w:tcPr>
          <w:p>
            <w:pPr>
              <w:jc w:val="left"/>
            </w:pPr>
            <w:r/>
            <w:r>
              <w:rPr>
                <w:rFonts w:ascii="Arial" w:hAnsi="Arial"/>
                <w:b w:val="0"/>
                <w:sz w:val="17"/>
              </w:rPr>
              <w:t>Set up two RØDE lavs as split tracks</w:t>
            </w:r>
          </w:p>
        </w:tc>
        <w:tc>
          <w:tcPr>
            <w:tcW w:type="dxa" w:w="6264"/>
            <w:vAlign w:val="top"/>
          </w:tcPr>
          <w:p>
            <w:pPr>
              <w:jc w:val="left"/>
            </w:pPr>
            <w:r/>
            <w:r>
              <w:rPr>
                <w:rFonts w:ascii="Arial" w:hAnsi="Arial"/>
                <w:b w:val="0"/>
                <w:sz w:val="17"/>
              </w:rPr>
              <w:t>External FX6 Audio Field Setup Guide. Historical background: split-track chapters and Appendix B.</w:t>
            </w:r>
          </w:p>
        </w:tc>
      </w:tr>
      <w:tr>
        <w:tc>
          <w:tcPr>
            <w:tcW w:type="dxa" w:w="3528"/>
            <w:vAlign w:val="top"/>
          </w:tcPr>
          <w:p>
            <w:pPr>
              <w:jc w:val="left"/>
            </w:pPr>
            <w:r/>
            <w:r>
              <w:rPr>
                <w:rFonts w:ascii="Arial" w:hAnsi="Arial"/>
                <w:b w:val="0"/>
                <w:sz w:val="17"/>
              </w:rPr>
              <w:t>Add a boom mic</w:t>
            </w:r>
          </w:p>
        </w:tc>
        <w:tc>
          <w:tcPr>
            <w:tcW w:type="dxa" w:w="6264"/>
            <w:vAlign w:val="top"/>
          </w:tcPr>
          <w:p>
            <w:pPr>
              <w:jc w:val="left"/>
            </w:pPr>
            <w:r/>
            <w:r>
              <w:rPr>
                <w:rFonts w:ascii="Arial" w:hAnsi="Arial"/>
                <w:b w:val="0"/>
                <w:sz w:val="17"/>
              </w:rPr>
              <w:t>External FX6 Audio Field Setup Guide. Historical background: boom setup and Appendix C.</w:t>
            </w:r>
          </w:p>
        </w:tc>
      </w:tr>
      <w:tr>
        <w:tc>
          <w:tcPr>
            <w:tcW w:type="dxa" w:w="3528"/>
            <w:vAlign w:val="top"/>
          </w:tcPr>
          <w:p>
            <w:pPr>
              <w:jc w:val="left"/>
            </w:pPr>
            <w:r/>
            <w:r>
              <w:rPr>
                <w:rFonts w:ascii="Arial" w:hAnsi="Arial"/>
                <w:b w:val="0"/>
                <w:sz w:val="17"/>
              </w:rPr>
              <w:t>Set Cine EI indoor shooting</w:t>
            </w:r>
          </w:p>
        </w:tc>
        <w:tc>
          <w:tcPr>
            <w:tcW w:type="dxa" w:w="6264"/>
            <w:vAlign w:val="top"/>
          </w:tcPr>
          <w:p>
            <w:pPr>
              <w:jc w:val="left"/>
            </w:pPr>
            <w:r/>
            <w:r>
              <w:rPr>
                <w:rFonts w:ascii="Arial" w:hAnsi="Arial"/>
                <w:b w:val="0"/>
                <w:sz w:val="17"/>
              </w:rPr>
              <w:t>White balance, ND, shutter/aperture, focus, exposure monitoring, Base ISO/EI, Indoor card / Appendix D.</w:t>
            </w:r>
          </w:p>
        </w:tc>
      </w:tr>
      <w:tr>
        <w:tc>
          <w:tcPr>
            <w:tcW w:type="dxa" w:w="3528"/>
            <w:vAlign w:val="top"/>
          </w:tcPr>
          <w:p>
            <w:pPr>
              <w:jc w:val="left"/>
            </w:pPr>
            <w:r/>
            <w:r>
              <w:rPr>
                <w:rFonts w:ascii="Arial" w:hAnsi="Arial"/>
                <w:b w:val="0"/>
                <w:sz w:val="17"/>
              </w:rPr>
              <w:t>Set Cine EI outdoor shooting</w:t>
            </w:r>
          </w:p>
        </w:tc>
        <w:tc>
          <w:tcPr>
            <w:tcW w:type="dxa" w:w="6264"/>
            <w:vAlign w:val="top"/>
          </w:tcPr>
          <w:p>
            <w:pPr>
              <w:jc w:val="left"/>
            </w:pPr>
            <w:r/>
            <w:r>
              <w:rPr>
                <w:rFonts w:ascii="Arial" w:hAnsi="Arial"/>
                <w:b w:val="0"/>
                <w:sz w:val="17"/>
              </w:rPr>
              <w:t>Outdoor ND workflow, exposure tools, outdoor Base ISO choices, Outdoor card / Appendix E.</w:t>
            </w:r>
          </w:p>
        </w:tc>
      </w:tr>
      <w:tr>
        <w:tc>
          <w:tcPr>
            <w:tcW w:type="dxa" w:w="3528"/>
            <w:vAlign w:val="top"/>
          </w:tcPr>
          <w:p>
            <w:pPr>
              <w:jc w:val="left"/>
            </w:pPr>
            <w:r/>
            <w:r>
              <w:rPr>
                <w:rFonts w:ascii="Arial" w:hAnsi="Arial"/>
                <w:b w:val="0"/>
                <w:sz w:val="17"/>
              </w:rPr>
              <w:t>Verify LUT / monitor</w:t>
            </w:r>
          </w:p>
        </w:tc>
        <w:tc>
          <w:tcPr>
            <w:tcW w:type="dxa" w:w="6264"/>
            <w:vAlign w:val="top"/>
          </w:tcPr>
          <w:p>
            <w:pPr>
              <w:jc w:val="left"/>
            </w:pPr>
            <w:r/>
            <w:r>
              <w:rPr>
                <w:rFonts w:ascii="Arial" w:hAnsi="Arial"/>
                <w:b w:val="0"/>
                <w:sz w:val="17"/>
              </w:rPr>
              <w:t>LUT/MLUT monitoring setup and external monitoring chapters.</w:t>
            </w:r>
          </w:p>
        </w:tc>
      </w:tr>
      <w:tr>
        <w:tc>
          <w:tcPr>
            <w:tcW w:type="dxa" w:w="3528"/>
            <w:vAlign w:val="top"/>
          </w:tcPr>
          <w:p>
            <w:pPr>
              <w:jc w:val="left"/>
            </w:pPr>
            <w:r/>
            <w:r>
              <w:rPr>
                <w:rFonts w:ascii="Arial" w:hAnsi="Arial"/>
                <w:b w:val="0"/>
                <w:sz w:val="17"/>
              </w:rPr>
              <w:t>Save/load FX6 settings</w:t>
            </w:r>
          </w:p>
        </w:tc>
        <w:tc>
          <w:tcPr>
            <w:tcW w:type="dxa" w:w="6264"/>
            <w:vAlign w:val="top"/>
          </w:tcPr>
          <w:p>
            <w:pPr>
              <w:jc w:val="left"/>
            </w:pPr>
            <w:r/>
            <w:r>
              <w:rPr>
                <w:rFonts w:ascii="Arial" w:hAnsi="Arial"/>
                <w:b w:val="0"/>
                <w:sz w:val="17"/>
              </w:rPr>
              <w:t>ALL/User/Scene files and settings-card checklist.</w:t>
            </w:r>
          </w:p>
        </w:tc>
      </w:tr>
      <w:tr>
        <w:tc>
          <w:tcPr>
            <w:tcW w:type="dxa" w:w="3528"/>
            <w:vAlign w:val="top"/>
          </w:tcPr>
          <w:p>
            <w:pPr>
              <w:jc w:val="left"/>
            </w:pPr>
            <w:r/>
            <w:r>
              <w:rPr>
                <w:rFonts w:ascii="Arial" w:hAnsi="Arial"/>
                <w:b w:val="0"/>
                <w:sz w:val="17"/>
              </w:rPr>
              <w:t>Shoot muted cinematic look</w:t>
            </w:r>
          </w:p>
        </w:tc>
        <w:tc>
          <w:tcPr>
            <w:tcW w:type="dxa" w:w="6264"/>
            <w:vAlign w:val="top"/>
          </w:tcPr>
          <w:p>
            <w:pPr>
              <w:jc w:val="left"/>
            </w:pPr>
            <w:r/>
            <w:r>
              <w:rPr>
                <w:rFonts w:ascii="Arial" w:hAnsi="Arial"/>
                <w:b w:val="0"/>
                <w:sz w:val="17"/>
              </w:rPr>
              <w:t>Muted-color rule set plus actor reel/feature/documentary lighting chapters.</w:t>
            </w:r>
          </w:p>
        </w:tc>
      </w:tr>
      <w:tr>
        <w:tc>
          <w:tcPr>
            <w:tcW w:type="dxa" w:w="3528"/>
            <w:vAlign w:val="top"/>
          </w:tcPr>
          <w:p>
            <w:pPr>
              <w:jc w:val="left"/>
            </w:pPr>
            <w:r/>
            <w:r>
              <w:rPr>
                <w:rFonts w:ascii="Arial" w:hAnsi="Arial"/>
                <w:b w:val="0"/>
                <w:sz w:val="17"/>
              </w:rPr>
              <w:t>Run pre-shoot / shoot-day checklist</w:t>
            </w:r>
          </w:p>
        </w:tc>
        <w:tc>
          <w:tcPr>
            <w:tcW w:type="dxa" w:w="6264"/>
            <w:vAlign w:val="top"/>
          </w:tcPr>
          <w:p>
            <w:pPr>
              <w:jc w:val="left"/>
            </w:pPr>
            <w:r/>
            <w:r>
              <w:rPr>
                <w:rFonts w:ascii="Arial" w:hAnsi="Arial"/>
                <w:b w:val="0"/>
                <w:sz w:val="17"/>
              </w:rPr>
              <w:t>Pre-shoot checklist and master shoot-day workflow.</w:t>
            </w:r>
          </w:p>
        </w:tc>
      </w:tr>
      <w:tr>
        <w:tc>
          <w:tcPr>
            <w:tcW w:type="dxa" w:w="3528"/>
            <w:vAlign w:val="top"/>
          </w:tcPr>
          <w:p>
            <w:pPr>
              <w:jc w:val="left"/>
            </w:pPr>
            <w:r/>
            <w:r>
              <w:rPr>
                <w:rFonts w:ascii="Arial" w:hAnsi="Arial"/>
                <w:b w:val="0"/>
                <w:sz w:val="17"/>
              </w:rPr>
              <w:t>Offload media safely</w:t>
            </w:r>
          </w:p>
        </w:tc>
        <w:tc>
          <w:tcPr>
            <w:tcW w:type="dxa" w:w="6264"/>
            <w:vAlign w:val="top"/>
          </w:tcPr>
          <w:p>
            <w:pPr>
              <w:jc w:val="left"/>
            </w:pPr>
            <w:r/>
            <w:r>
              <w:rPr>
                <w:rFonts w:ascii="Arial" w:hAnsi="Arial"/>
                <w:b w:val="0"/>
                <w:sz w:val="17"/>
              </w:rPr>
              <w:t>Full-card offload integrity and Appendix J.</w:t>
            </w:r>
          </w:p>
        </w:tc>
      </w:tr>
      <w:tr>
        <w:tc>
          <w:tcPr>
            <w:tcW w:type="dxa" w:w="3528"/>
            <w:vAlign w:val="top"/>
          </w:tcPr>
          <w:p>
            <w:pPr>
              <w:jc w:val="left"/>
            </w:pPr>
            <w:r/>
            <w:r>
              <w:rPr>
                <w:rFonts w:ascii="Arial" w:hAnsi="Arial"/>
                <w:b w:val="0"/>
                <w:sz w:val="17"/>
              </w:rPr>
              <w:t>Import into Resolve/Premiere</w:t>
            </w:r>
          </w:p>
        </w:tc>
        <w:tc>
          <w:tcPr>
            <w:tcW w:type="dxa" w:w="6264"/>
            <w:vAlign w:val="top"/>
          </w:tcPr>
          <w:p>
            <w:pPr>
              <w:jc w:val="left"/>
            </w:pPr>
            <w:r/>
            <w:r>
              <w:rPr>
                <w:rFonts w:ascii="Arial" w:hAnsi="Arial"/>
                <w:b w:val="0"/>
                <w:sz w:val="17"/>
              </w:rPr>
              <w:t>Resolve/Premiere workflow and Appendix K.</w:t>
            </w:r>
          </w:p>
        </w:tc>
      </w:tr>
    </w:tbl>
    <w:p/>
    <w:p>
      <w:r>
        <w:br w:type="page"/>
      </w:r>
    </w:p>
    <w:p>
      <w:pPr>
        <w:pStyle w:val="Heading1"/>
      </w:pPr>
      <w:r>
        <w:t>2. Camera Setup Routing</w:t>
      </w:r>
    </w:p>
    <w:tbl>
      <w:tblPr>
        <w:tblStyle w:val="TableGrid"/>
        <w:tblW w:type="auto" w:w="0"/>
        <w:jc w:val="center"/>
        <w:tblLook w:firstColumn="1" w:firstRow="1" w:lastColumn="0" w:lastRow="0" w:noHBand="0" w:noVBand="1" w:val="04A0"/>
      </w:tblPr>
      <w:tblGrid>
        <w:gridCol w:w="5184"/>
        <w:gridCol w:w="5184"/>
      </w:tblGrid>
      <w:tr>
        <w:tc>
          <w:tcPr>
            <w:tcW w:type="dxa" w:w="3312"/>
            <w:shd w:fill="1F4E79"/>
            <w:vAlign w:val="top"/>
          </w:tcPr>
          <w:p>
            <w:pPr>
              <w:jc w:val="left"/>
            </w:pPr>
            <w:r/>
            <w:r>
              <w:rPr>
                <w:rFonts w:ascii="Arial" w:hAnsi="Arial"/>
                <w:b/>
                <w:color w:val="FFFFFF"/>
                <w:sz w:val="18"/>
              </w:rPr>
              <w:t>Question</w:t>
            </w:r>
          </w:p>
        </w:tc>
        <w:tc>
          <w:tcPr>
            <w:tcW w:type="dxa" w:w="6480"/>
            <w:shd w:fill="1F4E79"/>
            <w:vAlign w:val="top"/>
          </w:tcPr>
          <w:p>
            <w:pPr>
              <w:jc w:val="left"/>
            </w:pPr>
            <w:r/>
            <w:r>
              <w:rPr>
                <w:rFonts w:ascii="Arial" w:hAnsi="Arial"/>
                <w:b/>
                <w:color w:val="FFFFFF"/>
                <w:sz w:val="18"/>
              </w:rPr>
              <w:t>Handbook route</w:t>
            </w:r>
          </w:p>
        </w:tc>
      </w:tr>
      <w:tr>
        <w:tc>
          <w:tcPr>
            <w:tcW w:type="dxa" w:w="3312"/>
            <w:vAlign w:val="top"/>
          </w:tcPr>
          <w:p>
            <w:pPr>
              <w:jc w:val="left"/>
            </w:pPr>
            <w:r/>
            <w:r>
              <w:rPr>
                <w:rFonts w:ascii="Arial" w:hAnsi="Arial"/>
                <w:b w:val="0"/>
                <w:sz w:val="18"/>
              </w:rPr>
              <w:t>What should the camera record?</w:t>
            </w:r>
          </w:p>
        </w:tc>
        <w:tc>
          <w:tcPr>
            <w:tcW w:type="dxa" w:w="6480"/>
            <w:vAlign w:val="top"/>
          </w:tcPr>
          <w:p>
            <w:pPr>
              <w:jc w:val="left"/>
            </w:pPr>
            <w:r/>
            <w:r>
              <w:rPr>
                <w:rFonts w:ascii="Arial" w:hAnsi="Arial"/>
                <w:b w:val="0"/>
                <w:sz w:val="18"/>
              </w:rPr>
              <w:t>Cine EI camera baseline; S-Gamut3.Cine/S-Log3; recording format chapters.</w:t>
            </w:r>
          </w:p>
        </w:tc>
      </w:tr>
      <w:tr>
        <w:tc>
          <w:tcPr>
            <w:tcW w:type="dxa" w:w="3312"/>
            <w:vAlign w:val="top"/>
          </w:tcPr>
          <w:p>
            <w:pPr>
              <w:jc w:val="left"/>
            </w:pPr>
            <w:r/>
            <w:r>
              <w:rPr>
                <w:rFonts w:ascii="Arial" w:hAnsi="Arial"/>
                <w:b w:val="0"/>
                <w:sz w:val="18"/>
              </w:rPr>
              <w:t>What frame rate / shutter should I use?</w:t>
            </w:r>
          </w:p>
        </w:tc>
        <w:tc>
          <w:tcPr>
            <w:tcW w:type="dxa" w:w="6480"/>
            <w:vAlign w:val="top"/>
          </w:tcPr>
          <w:p>
            <w:pPr>
              <w:jc w:val="left"/>
            </w:pPr>
            <w:r/>
            <w:r>
              <w:rPr>
                <w:rFonts w:ascii="Arial" w:hAnsi="Arial"/>
                <w:b w:val="0"/>
                <w:sz w:val="18"/>
              </w:rPr>
              <w:t>Recording format and shutter/aperture chapters; normal 23.98/24p = 1/48 or 180 degrees.</w:t>
            </w:r>
          </w:p>
        </w:tc>
      </w:tr>
      <w:tr>
        <w:tc>
          <w:tcPr>
            <w:tcW w:type="dxa" w:w="3312"/>
            <w:vAlign w:val="top"/>
          </w:tcPr>
          <w:p>
            <w:pPr>
              <w:jc w:val="left"/>
            </w:pPr>
            <w:r/>
            <w:r>
              <w:rPr>
                <w:rFonts w:ascii="Arial" w:hAnsi="Arial"/>
                <w:b w:val="0"/>
                <w:sz w:val="18"/>
              </w:rPr>
              <w:t>Which aperture is safe?</w:t>
            </w:r>
          </w:p>
        </w:tc>
        <w:tc>
          <w:tcPr>
            <w:tcW w:type="dxa" w:w="6480"/>
            <w:vAlign w:val="top"/>
          </w:tcPr>
          <w:p>
            <w:pPr>
              <w:jc w:val="left"/>
            </w:pPr>
            <w:r/>
            <w:r>
              <w:rPr>
                <w:rFonts w:ascii="Arial" w:hAnsi="Arial"/>
                <w:b w:val="0"/>
                <w:sz w:val="18"/>
              </w:rPr>
              <w:t>Shutter/aperture chapter and indoor/outdoor quick references.</w:t>
            </w:r>
          </w:p>
        </w:tc>
      </w:tr>
      <w:tr>
        <w:tc>
          <w:tcPr>
            <w:tcW w:type="dxa" w:w="3312"/>
            <w:vAlign w:val="top"/>
          </w:tcPr>
          <w:p>
            <w:pPr>
              <w:jc w:val="left"/>
            </w:pPr>
            <w:r/>
            <w:r>
              <w:rPr>
                <w:rFonts w:ascii="Arial" w:hAnsi="Arial"/>
                <w:b w:val="0"/>
                <w:sz w:val="18"/>
              </w:rPr>
              <w:t>How do I avoid focus failure?</w:t>
            </w:r>
          </w:p>
        </w:tc>
        <w:tc>
          <w:tcPr>
            <w:tcW w:type="dxa" w:w="6480"/>
            <w:vAlign w:val="top"/>
          </w:tcPr>
          <w:p>
            <w:pPr>
              <w:jc w:val="left"/>
            </w:pPr>
            <w:r/>
            <w:r>
              <w:rPr>
                <w:rFonts w:ascii="Arial" w:hAnsi="Arial"/>
                <w:b w:val="0"/>
                <w:sz w:val="18"/>
              </w:rPr>
              <w:t>Focus chapter, focus magnifier, peaking, Face/Eye AF, Push AF, and near-eye rules.</w:t>
            </w:r>
          </w:p>
        </w:tc>
      </w:tr>
      <w:tr>
        <w:tc>
          <w:tcPr>
            <w:tcW w:type="dxa" w:w="3312"/>
            <w:vAlign w:val="top"/>
          </w:tcPr>
          <w:p>
            <w:pPr>
              <w:jc w:val="left"/>
            </w:pPr>
            <w:r/>
            <w:r>
              <w:rPr>
                <w:rFonts w:ascii="Arial" w:hAnsi="Arial"/>
                <w:b w:val="0"/>
                <w:sz w:val="18"/>
              </w:rPr>
              <w:t>Which Base ISO?</w:t>
            </w:r>
          </w:p>
        </w:tc>
        <w:tc>
          <w:tcPr>
            <w:tcW w:type="dxa" w:w="6480"/>
            <w:vAlign w:val="top"/>
          </w:tcPr>
          <w:p>
            <w:pPr>
              <w:jc w:val="left"/>
            </w:pPr>
            <w:r/>
            <w:r>
              <w:rPr>
                <w:rFonts w:ascii="Arial" w:hAnsi="Arial"/>
                <w:b w:val="0"/>
                <w:sz w:val="18"/>
              </w:rPr>
              <w:t>Cine EI, Base ISO, and EI workflow chapter.</w:t>
            </w:r>
          </w:p>
        </w:tc>
      </w:tr>
      <w:tr>
        <w:tc>
          <w:tcPr>
            <w:tcW w:type="dxa" w:w="3312"/>
            <w:vAlign w:val="top"/>
          </w:tcPr>
          <w:p>
            <w:pPr>
              <w:jc w:val="left"/>
            </w:pPr>
            <w:r/>
            <w:r>
              <w:rPr>
                <w:rFonts w:ascii="Arial" w:hAnsi="Arial"/>
                <w:b w:val="0"/>
                <w:sz w:val="18"/>
              </w:rPr>
              <w:t>Do physical switches matter?</w:t>
            </w:r>
          </w:p>
        </w:tc>
        <w:tc>
          <w:tcPr>
            <w:tcW w:type="dxa" w:w="6480"/>
            <w:vAlign w:val="top"/>
          </w:tcPr>
          <w:p>
            <w:pPr>
              <w:jc w:val="left"/>
            </w:pPr>
            <w:r/>
            <w:r>
              <w:rPr>
                <w:rFonts w:ascii="Arial" w:hAnsi="Arial"/>
                <w:b w:val="0"/>
                <w:sz w:val="18"/>
              </w:rPr>
              <w:t>Start-of-shoot checklist; physical switches are not fully replaced by files/settings.</w:t>
            </w:r>
          </w:p>
        </w:tc>
      </w:tr>
    </w:tbl>
    <w:p/>
    <w:p>
      <w:r>
        <w:br w:type="page"/>
      </w:r>
    </w:p>
    <w:p>
      <w:pPr>
        <w:pStyle w:val="Heading1"/>
      </w:pPr>
      <w:r>
        <w:t>3. Exposure / EI / ND / WB Routing</w:t>
      </w:r>
    </w:p>
    <w:tbl>
      <w:tblPr>
        <w:tblStyle w:val="TableGrid"/>
        <w:tblW w:type="auto" w:w="0"/>
        <w:jc w:val="center"/>
        <w:tblLook w:firstColumn="1" w:firstRow="1" w:lastColumn="0" w:lastRow="0" w:noHBand="0" w:noVBand="1" w:val="04A0"/>
      </w:tblPr>
      <w:tblGrid>
        <w:gridCol w:w="5184"/>
        <w:gridCol w:w="5184"/>
      </w:tblGrid>
      <w:tr>
        <w:tc>
          <w:tcPr>
            <w:tcW w:type="dxa" w:w="3312"/>
            <w:shd w:fill="1F4E79"/>
            <w:vAlign w:val="top"/>
          </w:tcPr>
          <w:p>
            <w:pPr>
              <w:jc w:val="left"/>
            </w:pPr>
            <w:r/>
            <w:r>
              <w:rPr>
                <w:rFonts w:ascii="Arial" w:hAnsi="Arial"/>
                <w:b/>
                <w:color w:val="FFFFFF"/>
                <w:sz w:val="18"/>
              </w:rPr>
              <w:t>Problem</w:t>
            </w:r>
          </w:p>
        </w:tc>
        <w:tc>
          <w:tcPr>
            <w:tcW w:type="dxa" w:w="6480"/>
            <w:shd w:fill="1F4E79"/>
            <w:vAlign w:val="top"/>
          </w:tcPr>
          <w:p>
            <w:pPr>
              <w:jc w:val="left"/>
            </w:pPr>
            <w:r/>
            <w:r>
              <w:rPr>
                <w:rFonts w:ascii="Arial" w:hAnsi="Arial"/>
                <w:b/>
                <w:color w:val="FFFFFF"/>
                <w:sz w:val="18"/>
              </w:rPr>
              <w:t>First route</w:t>
            </w:r>
          </w:p>
        </w:tc>
      </w:tr>
      <w:tr>
        <w:tc>
          <w:tcPr>
            <w:tcW w:type="dxa" w:w="3312"/>
            <w:vAlign w:val="top"/>
          </w:tcPr>
          <w:p>
            <w:pPr>
              <w:jc w:val="left"/>
            </w:pPr>
            <w:r/>
            <w:r>
              <w:rPr>
                <w:rFonts w:ascii="Arial" w:hAnsi="Arial"/>
                <w:b w:val="0"/>
                <w:sz w:val="18"/>
              </w:rPr>
              <w:t>Indoor too dark</w:t>
            </w:r>
          </w:p>
        </w:tc>
        <w:tc>
          <w:tcPr>
            <w:tcW w:type="dxa" w:w="6480"/>
            <w:vAlign w:val="top"/>
          </w:tcPr>
          <w:p>
            <w:pPr>
              <w:jc w:val="left"/>
            </w:pPr>
            <w:r/>
            <w:r>
              <w:rPr>
                <w:rFonts w:ascii="Arial" w:hAnsi="Arial"/>
                <w:b w:val="0"/>
                <w:sz w:val="18"/>
              </w:rPr>
              <w:t>Indoor Cine EI card; Base ISO choices; add/control light before starving S-Log3.</w:t>
            </w:r>
          </w:p>
        </w:tc>
      </w:tr>
      <w:tr>
        <w:tc>
          <w:tcPr>
            <w:tcW w:type="dxa" w:w="3312"/>
            <w:vAlign w:val="top"/>
          </w:tcPr>
          <w:p>
            <w:pPr>
              <w:jc w:val="left"/>
            </w:pPr>
            <w:r/>
            <w:r>
              <w:rPr>
                <w:rFonts w:ascii="Arial" w:hAnsi="Arial"/>
                <w:b w:val="0"/>
                <w:sz w:val="18"/>
              </w:rPr>
              <w:t>Outdoor too bright</w:t>
            </w:r>
          </w:p>
        </w:tc>
        <w:tc>
          <w:tcPr>
            <w:tcW w:type="dxa" w:w="6480"/>
            <w:vAlign w:val="top"/>
          </w:tcPr>
          <w:p>
            <w:pPr>
              <w:jc w:val="left"/>
            </w:pPr>
            <w:r/>
            <w:r>
              <w:rPr>
                <w:rFonts w:ascii="Arial" w:hAnsi="Arial"/>
                <w:b w:val="0"/>
                <w:sz w:val="18"/>
              </w:rPr>
              <w:t>Outdoor Cine EI card; Variable ND; do not raise shutter casually.</w:t>
            </w:r>
          </w:p>
        </w:tc>
      </w:tr>
      <w:tr>
        <w:tc>
          <w:tcPr>
            <w:tcW w:type="dxa" w:w="3312"/>
            <w:vAlign w:val="top"/>
          </w:tcPr>
          <w:p>
            <w:pPr>
              <w:jc w:val="left"/>
            </w:pPr>
            <w:r/>
            <w:r>
              <w:rPr>
                <w:rFonts w:ascii="Arial" w:hAnsi="Arial"/>
                <w:b w:val="0"/>
                <w:sz w:val="18"/>
              </w:rPr>
              <w:t>Skin too dark or muddy</w:t>
            </w:r>
          </w:p>
        </w:tc>
        <w:tc>
          <w:tcPr>
            <w:tcW w:type="dxa" w:w="6480"/>
            <w:vAlign w:val="top"/>
          </w:tcPr>
          <w:p>
            <w:pPr>
              <w:jc w:val="left"/>
            </w:pPr>
            <w:r/>
            <w:r>
              <w:rPr>
                <w:rFonts w:ascii="Arial" w:hAnsi="Arial"/>
                <w:b w:val="0"/>
                <w:sz w:val="18"/>
              </w:rPr>
              <w:t>Exposure monitoring; muted-color warnings; do not underexpose for mood.</w:t>
            </w:r>
          </w:p>
        </w:tc>
      </w:tr>
      <w:tr>
        <w:tc>
          <w:tcPr>
            <w:tcW w:type="dxa" w:w="3312"/>
            <w:vAlign w:val="top"/>
          </w:tcPr>
          <w:p>
            <w:pPr>
              <w:jc w:val="left"/>
            </w:pPr>
            <w:r/>
            <w:r>
              <w:rPr>
                <w:rFonts w:ascii="Arial" w:hAnsi="Arial"/>
                <w:b w:val="0"/>
                <w:sz w:val="18"/>
              </w:rPr>
              <w:t>White balance changing</w:t>
            </w:r>
          </w:p>
        </w:tc>
        <w:tc>
          <w:tcPr>
            <w:tcW w:type="dxa" w:w="6480"/>
            <w:vAlign w:val="top"/>
          </w:tcPr>
          <w:p>
            <w:pPr>
              <w:jc w:val="left"/>
            </w:pPr>
            <w:r/>
            <w:r>
              <w:rPr>
                <w:rFonts w:ascii="Arial" w:hAnsi="Arial"/>
                <w:b w:val="0"/>
                <w:sz w:val="18"/>
              </w:rPr>
              <w:t>White balance external controls; avoid ATW for controlled work; lock A/B/Preset.</w:t>
            </w:r>
          </w:p>
        </w:tc>
      </w:tr>
      <w:tr>
        <w:tc>
          <w:tcPr>
            <w:tcW w:type="dxa" w:w="3312"/>
            <w:vAlign w:val="top"/>
          </w:tcPr>
          <w:p>
            <w:pPr>
              <w:jc w:val="left"/>
            </w:pPr>
            <w:r/>
            <w:r>
              <w:rPr>
                <w:rFonts w:ascii="Arial" w:hAnsi="Arial"/>
                <w:b w:val="0"/>
                <w:sz w:val="18"/>
              </w:rPr>
              <w:t>Mixed room light looks ugly</w:t>
            </w:r>
          </w:p>
        </w:tc>
        <w:tc>
          <w:tcPr>
            <w:tcW w:type="dxa" w:w="6480"/>
            <w:vAlign w:val="top"/>
          </w:tcPr>
          <w:p>
            <w:pPr>
              <w:jc w:val="left"/>
            </w:pPr>
            <w:r/>
            <w:r>
              <w:rPr>
                <w:rFonts w:ascii="Arial" w:hAnsi="Arial"/>
                <w:b w:val="0"/>
                <w:sz w:val="18"/>
              </w:rPr>
              <w:t>White balance philosophy and lighting chapters; fix light before pretending WB can solve everything.</w:t>
            </w:r>
          </w:p>
        </w:tc>
      </w:tr>
      <w:tr>
        <w:tc>
          <w:tcPr>
            <w:tcW w:type="dxa" w:w="3312"/>
            <w:vAlign w:val="top"/>
          </w:tcPr>
          <w:p>
            <w:pPr>
              <w:jc w:val="left"/>
            </w:pPr>
            <w:r/>
            <w:r>
              <w:rPr>
                <w:rFonts w:ascii="Arial" w:hAnsi="Arial"/>
                <w:b w:val="0"/>
                <w:sz w:val="18"/>
              </w:rPr>
              <w:t>EI confusing</w:t>
            </w:r>
          </w:p>
        </w:tc>
        <w:tc>
          <w:tcPr>
            <w:tcW w:type="dxa" w:w="6480"/>
            <w:vAlign w:val="top"/>
          </w:tcPr>
          <w:p>
            <w:pPr>
              <w:jc w:val="left"/>
            </w:pPr>
            <w:r/>
            <w:r>
              <w:rPr>
                <w:rFonts w:ascii="Arial" w:hAnsi="Arial"/>
                <w:b w:val="0"/>
                <w:sz w:val="18"/>
              </w:rPr>
              <w:t>Cine EI versus normal ISO; EI as exposure-rating / monitoring decision.</w:t>
            </w:r>
          </w:p>
        </w:tc>
      </w:tr>
    </w:tbl>
    <w:p/>
    <w:p>
      <w:r>
        <w:br w:type="page"/>
      </w:r>
    </w:p>
    <w:p>
      <w:pPr>
        <w:pStyle w:val="Heading1"/>
      </w:pPr>
      <w:r>
        <w:t>4. LUT / Monitor / Settings-Card Routing</w:t>
      </w:r>
    </w:p>
    <w:tbl>
      <w:tblPr>
        <w:tblStyle w:val="TableGrid"/>
        <w:tblW w:type="auto" w:w="0"/>
        <w:jc w:val="center"/>
        <w:tblLook w:firstColumn="1" w:firstRow="1" w:lastColumn="0" w:lastRow="0" w:noHBand="0" w:noVBand="1" w:val="04A0"/>
      </w:tblPr>
      <w:tblGrid>
        <w:gridCol w:w="5184"/>
        <w:gridCol w:w="5184"/>
      </w:tblGrid>
      <w:tr>
        <w:tc>
          <w:tcPr>
            <w:tcW w:type="dxa" w:w="3312"/>
            <w:shd w:fill="1F4E79"/>
            <w:vAlign w:val="top"/>
          </w:tcPr>
          <w:p>
            <w:pPr>
              <w:jc w:val="left"/>
            </w:pPr>
            <w:r/>
            <w:r>
              <w:rPr>
                <w:rFonts w:ascii="Arial" w:hAnsi="Arial"/>
                <w:b/>
                <w:color w:val="FFFFFF"/>
                <w:sz w:val="18"/>
              </w:rPr>
              <w:t>Problem</w:t>
            </w:r>
          </w:p>
        </w:tc>
        <w:tc>
          <w:tcPr>
            <w:tcW w:type="dxa" w:w="6480"/>
            <w:shd w:fill="1F4E79"/>
            <w:vAlign w:val="top"/>
          </w:tcPr>
          <w:p>
            <w:pPr>
              <w:jc w:val="left"/>
            </w:pPr>
            <w:r/>
            <w:r>
              <w:rPr>
                <w:rFonts w:ascii="Arial" w:hAnsi="Arial"/>
                <w:b/>
                <w:color w:val="FFFFFF"/>
                <w:sz w:val="18"/>
              </w:rPr>
              <w:t>First route</w:t>
            </w:r>
          </w:p>
        </w:tc>
      </w:tr>
      <w:tr>
        <w:tc>
          <w:tcPr>
            <w:tcW w:type="dxa" w:w="3312"/>
            <w:vAlign w:val="top"/>
          </w:tcPr>
          <w:p>
            <w:pPr>
              <w:jc w:val="left"/>
            </w:pPr>
            <w:r/>
            <w:r>
              <w:rPr>
                <w:rFonts w:ascii="Arial" w:hAnsi="Arial"/>
                <w:b w:val="0"/>
                <w:sz w:val="18"/>
              </w:rPr>
              <w:t>Image looks flat</w:t>
            </w:r>
          </w:p>
        </w:tc>
        <w:tc>
          <w:tcPr>
            <w:tcW w:type="dxa" w:w="6480"/>
            <w:vAlign w:val="top"/>
          </w:tcPr>
          <w:p>
            <w:pPr>
              <w:jc w:val="left"/>
            </w:pPr>
            <w:r/>
            <w:r>
              <w:rPr>
                <w:rFonts w:ascii="Arial" w:hAnsi="Arial"/>
                <w:b w:val="0"/>
                <w:sz w:val="18"/>
              </w:rPr>
              <w:t>Check LUT/MLUT monitoring setup. Confirm whether the display is receiving a LUT.</w:t>
            </w:r>
          </w:p>
        </w:tc>
      </w:tr>
      <w:tr>
        <w:tc>
          <w:tcPr>
            <w:tcW w:type="dxa" w:w="3312"/>
            <w:vAlign w:val="top"/>
          </w:tcPr>
          <w:p>
            <w:pPr>
              <w:jc w:val="left"/>
            </w:pPr>
            <w:r/>
            <w:r>
              <w:rPr>
                <w:rFonts w:ascii="Arial" w:hAnsi="Arial"/>
                <w:b w:val="0"/>
                <w:sz w:val="18"/>
              </w:rPr>
              <w:t>Image looks baked</w:t>
            </w:r>
          </w:p>
        </w:tc>
        <w:tc>
          <w:tcPr>
            <w:tcW w:type="dxa" w:w="6480"/>
            <w:vAlign w:val="top"/>
          </w:tcPr>
          <w:p>
            <w:pPr>
              <w:jc w:val="left"/>
            </w:pPr>
            <w:r/>
            <w:r>
              <w:rPr>
                <w:rFonts w:ascii="Arial" w:hAnsi="Arial"/>
                <w:b w:val="0"/>
                <w:sz w:val="18"/>
              </w:rPr>
              <w:t>Check double-LUT warning and Internal Rec MLUT status.</w:t>
            </w:r>
          </w:p>
        </w:tc>
      </w:tr>
      <w:tr>
        <w:tc>
          <w:tcPr>
            <w:tcW w:type="dxa" w:w="3312"/>
            <w:vAlign w:val="top"/>
          </w:tcPr>
          <w:p>
            <w:pPr>
              <w:jc w:val="left"/>
            </w:pPr>
            <w:r/>
            <w:r>
              <w:rPr>
                <w:rFonts w:ascii="Arial" w:hAnsi="Arial"/>
                <w:b w:val="0"/>
                <w:sz w:val="18"/>
              </w:rPr>
              <w:t>External monitor looks wrong</w:t>
            </w:r>
          </w:p>
        </w:tc>
        <w:tc>
          <w:tcPr>
            <w:tcW w:type="dxa" w:w="6480"/>
            <w:vAlign w:val="top"/>
          </w:tcPr>
          <w:p>
            <w:pPr>
              <w:jc w:val="left"/>
            </w:pPr>
            <w:r/>
            <w:r>
              <w:rPr>
                <w:rFonts w:ascii="Arial" w:hAnsi="Arial"/>
                <w:b w:val="0"/>
                <w:sz w:val="18"/>
              </w:rPr>
              <w:t>External monitoring chapter; decide whether FX6 or monitor applies LUT, not both.</w:t>
            </w:r>
          </w:p>
        </w:tc>
      </w:tr>
      <w:tr>
        <w:tc>
          <w:tcPr>
            <w:tcW w:type="dxa" w:w="3312"/>
            <w:vAlign w:val="top"/>
          </w:tcPr>
          <w:p>
            <w:pPr>
              <w:jc w:val="left"/>
            </w:pPr>
            <w:r/>
            <w:r>
              <w:rPr>
                <w:rFonts w:ascii="Arial" w:hAnsi="Arial"/>
                <w:b w:val="0"/>
                <w:sz w:val="18"/>
              </w:rPr>
              <w:t>Need to save camera settings</w:t>
            </w:r>
          </w:p>
        </w:tc>
        <w:tc>
          <w:tcPr>
            <w:tcW w:type="dxa" w:w="6480"/>
            <w:vAlign w:val="top"/>
          </w:tcPr>
          <w:p>
            <w:pPr>
              <w:jc w:val="left"/>
            </w:pPr>
            <w:r/>
            <w:r>
              <w:rPr>
                <w:rFonts w:ascii="Arial" w:hAnsi="Arial"/>
                <w:b w:val="0"/>
                <w:sz w:val="18"/>
              </w:rPr>
              <w:t>ALL/User/Scene files and settings card chapters.</w:t>
            </w:r>
          </w:p>
        </w:tc>
      </w:tr>
      <w:tr>
        <w:tc>
          <w:tcPr>
            <w:tcW w:type="dxa" w:w="3312"/>
            <w:vAlign w:val="top"/>
          </w:tcPr>
          <w:p>
            <w:pPr>
              <w:jc w:val="left"/>
            </w:pPr>
            <w:r/>
            <w:r>
              <w:rPr>
                <w:rFonts w:ascii="Arial" w:hAnsi="Arial"/>
                <w:b w:val="0"/>
                <w:sz w:val="18"/>
              </w:rPr>
              <w:t>Need to preserve LUTs</w:t>
            </w:r>
          </w:p>
        </w:tc>
        <w:tc>
          <w:tcPr>
            <w:tcW w:type="dxa" w:w="6480"/>
            <w:vAlign w:val="top"/>
          </w:tcPr>
          <w:p>
            <w:pPr>
              <w:jc w:val="left"/>
            </w:pPr>
            <w:r/>
            <w:r>
              <w:rPr>
                <w:rFonts w:ascii="Arial" w:hAnsi="Arial"/>
                <w:b w:val="0"/>
                <w:sz w:val="18"/>
              </w:rPr>
              <w:t>LUT acquisition/import and settings-card discipline.</w:t>
            </w:r>
          </w:p>
        </w:tc>
      </w:tr>
      <w:tr>
        <w:tc>
          <w:tcPr>
            <w:tcW w:type="dxa" w:w="3312"/>
            <w:vAlign w:val="top"/>
          </w:tcPr>
          <w:p>
            <w:pPr>
              <w:jc w:val="left"/>
            </w:pPr>
            <w:r/>
            <w:r>
              <w:rPr>
                <w:rFonts w:ascii="Arial" w:hAnsi="Arial"/>
                <w:b w:val="0"/>
                <w:sz w:val="18"/>
              </w:rPr>
              <w:t>Camera state uncertain after load</w:t>
            </w:r>
          </w:p>
        </w:tc>
        <w:tc>
          <w:tcPr>
            <w:tcW w:type="dxa" w:w="6480"/>
            <w:vAlign w:val="top"/>
          </w:tcPr>
          <w:p>
            <w:pPr>
              <w:jc w:val="left"/>
            </w:pPr>
            <w:r/>
            <w:r>
              <w:rPr>
                <w:rFonts w:ascii="Arial" w:hAnsi="Arial"/>
                <w:b w:val="0"/>
                <w:sz w:val="18"/>
              </w:rPr>
              <w:t>Start-of-shoot checklist; files do not save every physical/external state.</w:t>
            </w:r>
          </w:p>
        </w:tc>
      </w:tr>
    </w:tbl>
    <w:p/>
    <w:p>
      <w:r>
        <w:br w:type="page"/>
      </w:r>
    </w:p>
    <w:p>
      <w:pPr>
        <w:pStyle w:val="Heading1"/>
      </w:pPr>
      <w:r>
        <w:t>5. Muted-Color Visual Routing</w:t>
      </w:r>
    </w:p>
    <w:tbl>
      <w:tblPr>
        <w:tblStyle w:val="TableGrid"/>
        <w:tblW w:type="auto" w:w="0"/>
        <w:jc w:val="center"/>
        <w:tblLook w:firstColumn="1" w:firstRow="1" w:lastColumn="0" w:lastRow="0" w:noHBand="0" w:noVBand="1" w:val="04A0"/>
      </w:tblPr>
      <w:tblGrid>
        <w:gridCol w:w="5184"/>
        <w:gridCol w:w="5184"/>
      </w:tblGrid>
      <w:tr>
        <w:tc>
          <w:tcPr>
            <w:tcW w:type="dxa" w:w="3312"/>
            <w:shd w:fill="1F4E79"/>
            <w:vAlign w:val="top"/>
          </w:tcPr>
          <w:p>
            <w:pPr>
              <w:jc w:val="left"/>
            </w:pPr>
            <w:r/>
            <w:r>
              <w:rPr>
                <w:rFonts w:ascii="Arial" w:hAnsi="Arial"/>
                <w:b/>
                <w:color w:val="FFFFFF"/>
                <w:sz w:val="18"/>
              </w:rPr>
              <w:t>Question</w:t>
            </w:r>
          </w:p>
        </w:tc>
        <w:tc>
          <w:tcPr>
            <w:tcW w:type="dxa" w:w="6480"/>
            <w:shd w:fill="1F4E79"/>
            <w:vAlign w:val="top"/>
          </w:tcPr>
          <w:p>
            <w:pPr>
              <w:jc w:val="left"/>
            </w:pPr>
            <w:r/>
            <w:r>
              <w:rPr>
                <w:rFonts w:ascii="Arial" w:hAnsi="Arial"/>
                <w:b/>
                <w:color w:val="FFFFFF"/>
                <w:sz w:val="18"/>
              </w:rPr>
              <w:t>Go to...</w:t>
            </w:r>
          </w:p>
        </w:tc>
      </w:tr>
      <w:tr>
        <w:tc>
          <w:tcPr>
            <w:tcW w:type="dxa" w:w="3312"/>
            <w:vAlign w:val="top"/>
          </w:tcPr>
          <w:p>
            <w:pPr>
              <w:jc w:val="left"/>
            </w:pPr>
            <w:r/>
            <w:r>
              <w:rPr>
                <w:rFonts w:ascii="Arial" w:hAnsi="Arial"/>
                <w:b w:val="0"/>
                <w:sz w:val="18"/>
              </w:rPr>
              <w:t>What is the muted look?</w:t>
            </w:r>
          </w:p>
        </w:tc>
        <w:tc>
          <w:tcPr>
            <w:tcW w:type="dxa" w:w="6480"/>
            <w:vAlign w:val="top"/>
          </w:tcPr>
          <w:p>
            <w:pPr>
              <w:jc w:val="left"/>
            </w:pPr>
            <w:r/>
            <w:r>
              <w:rPr>
                <w:rFonts w:ascii="Arial" w:hAnsi="Arial"/>
                <w:b w:val="0"/>
                <w:sz w:val="18"/>
              </w:rPr>
              <w:t>Project definition and muted-color visual method.</w:t>
            </w:r>
          </w:p>
        </w:tc>
      </w:tr>
      <w:tr>
        <w:tc>
          <w:tcPr>
            <w:tcW w:type="dxa" w:w="3312"/>
            <w:vAlign w:val="top"/>
          </w:tcPr>
          <w:p>
            <w:pPr>
              <w:jc w:val="left"/>
            </w:pPr>
            <w:r/>
            <w:r>
              <w:rPr>
                <w:rFonts w:ascii="Arial" w:hAnsi="Arial"/>
                <w:b w:val="0"/>
                <w:sz w:val="18"/>
              </w:rPr>
              <w:t>What is the look not?</w:t>
            </w:r>
          </w:p>
        </w:tc>
        <w:tc>
          <w:tcPr>
            <w:tcW w:type="dxa" w:w="6480"/>
            <w:vAlign w:val="top"/>
          </w:tcPr>
          <w:p>
            <w:pPr>
              <w:jc w:val="left"/>
            </w:pPr>
            <w:r/>
            <w:r>
              <w:rPr>
                <w:rFonts w:ascii="Arial" w:hAnsi="Arial"/>
                <w:b w:val="0"/>
                <w:sz w:val="18"/>
              </w:rPr>
              <w:t>Warnings against underexposure, dead skin, random LUTs, and over-grading.</w:t>
            </w:r>
          </w:p>
        </w:tc>
      </w:tr>
      <w:tr>
        <w:tc>
          <w:tcPr>
            <w:tcW w:type="dxa" w:w="3312"/>
            <w:vAlign w:val="top"/>
          </w:tcPr>
          <w:p>
            <w:pPr>
              <w:jc w:val="left"/>
            </w:pPr>
            <w:r/>
            <w:r>
              <w:rPr>
                <w:rFonts w:ascii="Arial" w:hAnsi="Arial"/>
                <w:b w:val="0"/>
                <w:sz w:val="18"/>
              </w:rPr>
              <w:t>How do I light an actor reel?</w:t>
            </w:r>
          </w:p>
        </w:tc>
        <w:tc>
          <w:tcPr>
            <w:tcW w:type="dxa" w:w="6480"/>
            <w:vAlign w:val="top"/>
          </w:tcPr>
          <w:p>
            <w:pPr>
              <w:jc w:val="left"/>
            </w:pPr>
            <w:r/>
            <w:r>
              <w:rPr>
                <w:rFonts w:ascii="Arial" w:hAnsi="Arial"/>
                <w:b w:val="0"/>
                <w:sz w:val="18"/>
              </w:rPr>
              <w:t>Actor reel lighting chapter and Appendix F.</w:t>
            </w:r>
          </w:p>
        </w:tc>
      </w:tr>
      <w:tr>
        <w:tc>
          <w:tcPr>
            <w:tcW w:type="dxa" w:w="3312"/>
            <w:vAlign w:val="top"/>
          </w:tcPr>
          <w:p>
            <w:pPr>
              <w:jc w:val="left"/>
            </w:pPr>
            <w:r/>
            <w:r>
              <w:rPr>
                <w:rFonts w:ascii="Arial" w:hAnsi="Arial"/>
                <w:b w:val="0"/>
                <w:sz w:val="18"/>
              </w:rPr>
              <w:t>How do I light feature dialogue?</w:t>
            </w:r>
          </w:p>
        </w:tc>
        <w:tc>
          <w:tcPr>
            <w:tcW w:type="dxa" w:w="6480"/>
            <w:vAlign w:val="top"/>
          </w:tcPr>
          <w:p>
            <w:pPr>
              <w:jc w:val="left"/>
            </w:pPr>
            <w:r/>
            <w:r>
              <w:rPr>
                <w:rFonts w:ascii="Arial" w:hAnsi="Arial"/>
                <w:b w:val="0"/>
                <w:sz w:val="18"/>
              </w:rPr>
              <w:t>Feature scene lighting chapter and Appendix G.</w:t>
            </w:r>
          </w:p>
        </w:tc>
      </w:tr>
      <w:tr>
        <w:tc>
          <w:tcPr>
            <w:tcW w:type="dxa" w:w="3312"/>
            <w:vAlign w:val="top"/>
          </w:tcPr>
          <w:p>
            <w:pPr>
              <w:jc w:val="left"/>
            </w:pPr>
            <w:r/>
            <w:r>
              <w:rPr>
                <w:rFonts w:ascii="Arial" w:hAnsi="Arial"/>
                <w:b w:val="0"/>
                <w:sz w:val="18"/>
              </w:rPr>
              <w:t>How do I light documentary interviews?</w:t>
            </w:r>
          </w:p>
        </w:tc>
        <w:tc>
          <w:tcPr>
            <w:tcW w:type="dxa" w:w="6480"/>
            <w:vAlign w:val="top"/>
          </w:tcPr>
          <w:p>
            <w:pPr>
              <w:jc w:val="left"/>
            </w:pPr>
            <w:r/>
            <w:r>
              <w:rPr>
                <w:rFonts w:ascii="Arial" w:hAnsi="Arial"/>
                <w:b w:val="0"/>
                <w:sz w:val="18"/>
              </w:rPr>
              <w:t>Documentary lighting chapter and Appendix H.</w:t>
            </w:r>
          </w:p>
        </w:tc>
      </w:tr>
      <w:tr>
        <w:tc>
          <w:tcPr>
            <w:tcW w:type="dxa" w:w="3312"/>
            <w:vAlign w:val="top"/>
          </w:tcPr>
          <w:p>
            <w:pPr>
              <w:jc w:val="left"/>
            </w:pPr>
            <w:r/>
            <w:r>
              <w:rPr>
                <w:rFonts w:ascii="Arial" w:hAnsi="Arial"/>
                <w:b w:val="0"/>
                <w:sz w:val="18"/>
              </w:rPr>
              <w:t>How do lens/movement/design affect the look?</w:t>
            </w:r>
          </w:p>
        </w:tc>
        <w:tc>
          <w:tcPr>
            <w:tcW w:type="dxa" w:w="6480"/>
            <w:vAlign w:val="top"/>
          </w:tcPr>
          <w:p>
            <w:pPr>
              <w:jc w:val="left"/>
            </w:pPr>
            <w:r/>
            <w:r>
              <w:rPr>
                <w:rFonts w:ascii="Arial" w:hAnsi="Arial"/>
                <w:b w:val="0"/>
                <w:sz w:val="18"/>
              </w:rPr>
              <w:t>Lens, movement, and production design chapters.</w:t>
            </w:r>
          </w:p>
        </w:tc>
      </w:tr>
    </w:tbl>
    <w:p/>
    <w:tbl>
      <w:tblPr>
        <w:tblW w:type="auto" w:w="0"/>
        <w:jc w:val="center"/>
        <w:tblLook w:firstColumn="1" w:firstRow="1" w:lastColumn="0" w:lastRow="0" w:noHBand="0" w:noVBand="1" w:val="04A0"/>
      </w:tblPr>
      <w:tblGrid>
        <w:gridCol w:w="10368"/>
      </w:tblGrid>
      <w:tr>
        <w:tc>
          <w:tcPr>
            <w:tcW w:type="dxa" w:w="10368"/>
            <w:shd w:fill="FFF2CC"/>
          </w:tcPr>
          <w:p>
            <w:r>
              <w:rPr>
                <w:rFonts w:ascii="Arial" w:hAnsi="Arial"/>
                <w:b/>
                <w:sz w:val="19"/>
              </w:rPr>
              <w:t xml:space="preserve">Visual routing rule: </w:t>
            </w:r>
            <w:r>
              <w:rPr>
                <w:rFonts w:ascii="Arial" w:hAnsi="Arial"/>
                <w:sz w:val="19"/>
              </w:rPr>
              <w:t>If the solution is only "make the image darker," you are in the wrong section. Go back to exposure, lighting, and production design.</w:t>
            </w:r>
          </w:p>
        </w:tc>
      </w:tr>
    </w:tbl>
    <w:p/>
    <w:p>
      <w:r>
        <w:br w:type="page"/>
      </w:r>
    </w:p>
    <w:p>
      <w:pPr>
        <w:pStyle w:val="Heading1"/>
      </w:pPr>
      <w:r>
        <w:t>6. Scenario Routing</w:t>
      </w:r>
    </w:p>
    <w:tbl>
      <w:tblPr>
        <w:tblStyle w:val="TableGrid"/>
        <w:tblW w:type="auto" w:w="0"/>
        <w:jc w:val="center"/>
        <w:tblLook w:firstColumn="1" w:firstRow="1" w:lastColumn="0" w:lastRow="0" w:noHBand="0" w:noVBand="1" w:val="04A0"/>
      </w:tblPr>
      <w:tblGrid>
        <w:gridCol w:w="5184"/>
        <w:gridCol w:w="5184"/>
      </w:tblGrid>
      <w:tr>
        <w:tc>
          <w:tcPr>
            <w:tcW w:type="dxa" w:w="3456"/>
            <w:shd w:fill="1F4E79"/>
            <w:vAlign w:val="top"/>
          </w:tcPr>
          <w:p>
            <w:pPr>
              <w:jc w:val="left"/>
            </w:pPr>
            <w:r/>
            <w:r>
              <w:rPr>
                <w:rFonts w:ascii="Arial" w:hAnsi="Arial"/>
                <w:b/>
                <w:color w:val="FFFFFF"/>
                <w:sz w:val="17"/>
              </w:rPr>
              <w:t>Scenario</w:t>
            </w:r>
          </w:p>
        </w:tc>
        <w:tc>
          <w:tcPr>
            <w:tcW w:type="dxa" w:w="6336"/>
            <w:shd w:fill="1F4E79"/>
            <w:vAlign w:val="top"/>
          </w:tcPr>
          <w:p>
            <w:pPr>
              <w:jc w:val="left"/>
            </w:pPr>
            <w:r/>
            <w:r>
              <w:rPr>
                <w:rFonts w:ascii="Arial" w:hAnsi="Arial"/>
                <w:b/>
                <w:color w:val="FFFFFF"/>
                <w:sz w:val="17"/>
              </w:rPr>
              <w:t>Route</w:t>
            </w:r>
          </w:p>
        </w:tc>
      </w:tr>
      <w:tr>
        <w:tc>
          <w:tcPr>
            <w:tcW w:type="dxa" w:w="3456"/>
            <w:vAlign w:val="top"/>
          </w:tcPr>
          <w:p>
            <w:pPr>
              <w:jc w:val="left"/>
            </w:pPr>
            <w:r/>
            <w:r>
              <w:rPr>
                <w:rFonts w:ascii="Arial" w:hAnsi="Arial"/>
                <w:b w:val="0"/>
                <w:sz w:val="17"/>
              </w:rPr>
              <w:t>One-person actor reel, indoor</w:t>
            </w:r>
          </w:p>
        </w:tc>
        <w:tc>
          <w:tcPr>
            <w:tcW w:type="dxa" w:w="6336"/>
            <w:vAlign w:val="top"/>
          </w:tcPr>
          <w:p>
            <w:pPr>
              <w:jc w:val="left"/>
            </w:pPr>
            <w:r/>
            <w:r>
              <w:rPr>
                <w:rFonts w:ascii="Arial" w:hAnsi="Arial"/>
                <w:b w:val="0"/>
                <w:sz w:val="17"/>
              </w:rPr>
              <w:t>Indoor Cine EI card; muted-color rules; actor-reel lighting; focus near eye; record/review test.</w:t>
            </w:r>
          </w:p>
        </w:tc>
      </w:tr>
      <w:tr>
        <w:tc>
          <w:tcPr>
            <w:tcW w:type="dxa" w:w="3456"/>
            <w:vAlign w:val="top"/>
          </w:tcPr>
          <w:p>
            <w:pPr>
              <w:jc w:val="left"/>
            </w:pPr>
            <w:r/>
            <w:r>
              <w:rPr>
                <w:rFonts w:ascii="Arial" w:hAnsi="Arial"/>
                <w:b w:val="0"/>
                <w:sz w:val="17"/>
              </w:rPr>
              <w:t>Two-person dialogue/interview</w:t>
            </w:r>
          </w:p>
        </w:tc>
        <w:tc>
          <w:tcPr>
            <w:tcW w:type="dxa" w:w="6336"/>
            <w:vAlign w:val="top"/>
          </w:tcPr>
          <w:p>
            <w:pPr>
              <w:jc w:val="left"/>
            </w:pPr>
            <w:r/>
            <w:r>
              <w:rPr>
                <w:rFonts w:ascii="Arial" w:hAnsi="Arial"/>
                <w:b w:val="0"/>
                <w:sz w:val="17"/>
              </w:rPr>
              <w:t>Indoor or outdoor card; two-person aperture/depth; matching coverage; documentary or feature lighting depending style.</w:t>
            </w:r>
          </w:p>
        </w:tc>
      </w:tr>
      <w:tr>
        <w:tc>
          <w:tcPr>
            <w:tcW w:type="dxa" w:w="3456"/>
            <w:vAlign w:val="top"/>
          </w:tcPr>
          <w:p>
            <w:pPr>
              <w:jc w:val="left"/>
            </w:pPr>
            <w:r/>
            <w:r>
              <w:rPr>
                <w:rFonts w:ascii="Arial" w:hAnsi="Arial"/>
                <w:b w:val="0"/>
                <w:sz w:val="17"/>
              </w:rPr>
              <w:t>Exterior muted-cinematic dialogue</w:t>
            </w:r>
          </w:p>
        </w:tc>
        <w:tc>
          <w:tcPr>
            <w:tcW w:type="dxa" w:w="6336"/>
            <w:vAlign w:val="top"/>
          </w:tcPr>
          <w:p>
            <w:pPr>
              <w:jc w:val="left"/>
            </w:pPr>
            <w:r/>
            <w:r>
              <w:rPr>
                <w:rFonts w:ascii="Arial" w:hAnsi="Arial"/>
                <w:b w:val="0"/>
                <w:sz w:val="17"/>
              </w:rPr>
              <w:t>Outdoor card; Base ISO 800; Variable ND; face/highlight balance; exterior lighting strategy.</w:t>
            </w:r>
          </w:p>
        </w:tc>
      </w:tr>
      <w:tr>
        <w:tc>
          <w:tcPr>
            <w:tcW w:type="dxa" w:w="3456"/>
            <w:vAlign w:val="top"/>
          </w:tcPr>
          <w:p>
            <w:pPr>
              <w:jc w:val="left"/>
            </w:pPr>
            <w:r/>
            <w:r>
              <w:rPr>
                <w:rFonts w:ascii="Arial" w:hAnsi="Arial"/>
                <w:b w:val="0"/>
                <w:sz w:val="17"/>
              </w:rPr>
              <w:t>Documentary sit-down</w:t>
            </w:r>
          </w:p>
        </w:tc>
        <w:tc>
          <w:tcPr>
            <w:tcW w:type="dxa" w:w="6336"/>
            <w:vAlign w:val="top"/>
          </w:tcPr>
          <w:p>
            <w:pPr>
              <w:jc w:val="left"/>
            </w:pPr>
            <w:r/>
            <w:r>
              <w:rPr>
                <w:rFonts w:ascii="Arial" w:hAnsi="Arial"/>
                <w:b w:val="0"/>
                <w:sz w:val="17"/>
              </w:rPr>
              <w:t>Clean face; quick background control; truthful lighting; pre-shoot and 10-second test; field logging.</w:t>
            </w:r>
          </w:p>
        </w:tc>
      </w:tr>
      <w:tr>
        <w:tc>
          <w:tcPr>
            <w:tcW w:type="dxa" w:w="3456"/>
            <w:vAlign w:val="top"/>
          </w:tcPr>
          <w:p>
            <w:pPr>
              <w:jc w:val="left"/>
            </w:pPr>
            <w:r/>
            <w:r>
              <w:rPr>
                <w:rFonts w:ascii="Arial" w:hAnsi="Arial"/>
                <w:b w:val="0"/>
                <w:sz w:val="17"/>
              </w:rPr>
              <w:t>Documentary run-and-gun</w:t>
            </w:r>
          </w:p>
        </w:tc>
        <w:tc>
          <w:tcPr>
            <w:tcW w:type="dxa" w:w="6336"/>
            <w:vAlign w:val="top"/>
          </w:tcPr>
          <w:p>
            <w:pPr>
              <w:jc w:val="left"/>
            </w:pPr>
            <w:r/>
            <w:r>
              <w:rPr>
                <w:rFonts w:ascii="Arial" w:hAnsi="Arial"/>
                <w:b w:val="0"/>
                <w:sz w:val="17"/>
              </w:rPr>
              <w:t>Practical quick card; Auto ND only when necessary; protect face; verify WB/exposure/focus repeatedly.</w:t>
            </w:r>
          </w:p>
        </w:tc>
      </w:tr>
      <w:tr>
        <w:tc>
          <w:tcPr>
            <w:tcW w:type="dxa" w:w="3456"/>
            <w:vAlign w:val="top"/>
          </w:tcPr>
          <w:p>
            <w:pPr>
              <w:jc w:val="left"/>
            </w:pPr>
            <w:r/>
            <w:r>
              <w:rPr>
                <w:rFonts w:ascii="Arial" w:hAnsi="Arial"/>
                <w:b w:val="0"/>
                <w:sz w:val="17"/>
              </w:rPr>
              <w:t>Offload / import / proxy / archive</w:t>
            </w:r>
          </w:p>
        </w:tc>
        <w:tc>
          <w:tcPr>
            <w:tcW w:type="dxa" w:w="6336"/>
            <w:vAlign w:val="top"/>
          </w:tcPr>
          <w:p>
            <w:pPr>
              <w:jc w:val="left"/>
            </w:pPr>
            <w:r/>
            <w:r>
              <w:rPr>
                <w:rFonts w:ascii="Arial" w:hAnsi="Arial"/>
                <w:b w:val="0"/>
                <w:sz w:val="17"/>
              </w:rPr>
              <w:t>Full-card copy; no flat MXF dump; verify before format; use proxies if needed; preserve originals.</w:t>
            </w:r>
          </w:p>
        </w:tc>
      </w:tr>
    </w:tbl>
    <w:p/>
    <w:p>
      <w:r>
        <w:br w:type="page"/>
      </w:r>
    </w:p>
    <w:p>
      <w:pPr>
        <w:pStyle w:val="Heading1"/>
      </w:pPr>
      <w:r>
        <w:t>7. Post / Media Routing</w:t>
      </w:r>
    </w:p>
    <w:tbl>
      <w:tblPr>
        <w:tblStyle w:val="TableGrid"/>
        <w:tblW w:type="auto" w:w="0"/>
        <w:jc w:val="center"/>
        <w:tblLook w:firstColumn="1" w:firstRow="1" w:lastColumn="0" w:lastRow="0" w:noHBand="0" w:noVBand="1" w:val="04A0"/>
      </w:tblPr>
      <w:tblGrid>
        <w:gridCol w:w="5184"/>
        <w:gridCol w:w="5184"/>
      </w:tblGrid>
      <w:tr>
        <w:tc>
          <w:tcPr>
            <w:tcW w:type="dxa" w:w="3312"/>
            <w:shd w:fill="1F4E79"/>
            <w:vAlign w:val="top"/>
          </w:tcPr>
          <w:p>
            <w:pPr>
              <w:jc w:val="left"/>
            </w:pPr>
            <w:r/>
            <w:r>
              <w:rPr>
                <w:rFonts w:ascii="Arial" w:hAnsi="Arial"/>
                <w:b/>
                <w:color w:val="FFFFFF"/>
                <w:sz w:val="18"/>
              </w:rPr>
              <w:t>Need</w:t>
            </w:r>
          </w:p>
        </w:tc>
        <w:tc>
          <w:tcPr>
            <w:tcW w:type="dxa" w:w="6480"/>
            <w:shd w:fill="1F4E79"/>
            <w:vAlign w:val="top"/>
          </w:tcPr>
          <w:p>
            <w:pPr>
              <w:jc w:val="left"/>
            </w:pPr>
            <w:r/>
            <w:r>
              <w:rPr>
                <w:rFonts w:ascii="Arial" w:hAnsi="Arial"/>
                <w:b/>
                <w:color w:val="FFFFFF"/>
                <w:sz w:val="18"/>
              </w:rPr>
              <w:t>Route</w:t>
            </w:r>
          </w:p>
        </w:tc>
      </w:tr>
      <w:tr>
        <w:tc>
          <w:tcPr>
            <w:tcW w:type="dxa" w:w="3312"/>
            <w:vAlign w:val="top"/>
          </w:tcPr>
          <w:p>
            <w:pPr>
              <w:jc w:val="left"/>
            </w:pPr>
            <w:r/>
            <w:r>
              <w:rPr>
                <w:rFonts w:ascii="Arial" w:hAnsi="Arial"/>
                <w:b w:val="0"/>
                <w:sz w:val="18"/>
              </w:rPr>
              <w:t>Name reels/cards/clips</w:t>
            </w:r>
          </w:p>
        </w:tc>
        <w:tc>
          <w:tcPr>
            <w:tcW w:type="dxa" w:w="6480"/>
            <w:vAlign w:val="top"/>
          </w:tcPr>
          <w:p>
            <w:pPr>
              <w:jc w:val="left"/>
            </w:pPr>
            <w:r/>
            <w:r>
              <w:rPr>
                <w:rFonts w:ascii="Arial" w:hAnsi="Arial"/>
                <w:b w:val="0"/>
                <w:sz w:val="18"/>
              </w:rPr>
              <w:t>File naming and logging chapters; Appendix I.</w:t>
            </w:r>
          </w:p>
        </w:tc>
      </w:tr>
      <w:tr>
        <w:tc>
          <w:tcPr>
            <w:tcW w:type="dxa" w:w="3312"/>
            <w:vAlign w:val="top"/>
          </w:tcPr>
          <w:p>
            <w:pPr>
              <w:jc w:val="left"/>
            </w:pPr>
            <w:r/>
            <w:r>
              <w:rPr>
                <w:rFonts w:ascii="Arial" w:hAnsi="Arial"/>
                <w:b w:val="0"/>
                <w:sz w:val="18"/>
              </w:rPr>
              <w:t>Copy cards safely</w:t>
            </w:r>
          </w:p>
        </w:tc>
        <w:tc>
          <w:tcPr>
            <w:tcW w:type="dxa" w:w="6480"/>
            <w:vAlign w:val="top"/>
          </w:tcPr>
          <w:p>
            <w:pPr>
              <w:jc w:val="left"/>
            </w:pPr>
            <w:r/>
            <w:r>
              <w:rPr>
                <w:rFonts w:ascii="Arial" w:hAnsi="Arial"/>
                <w:b w:val="0"/>
                <w:sz w:val="18"/>
              </w:rPr>
              <w:t>Offload and backup chapter; Appendix J.</w:t>
            </w:r>
          </w:p>
        </w:tc>
      </w:tr>
      <w:tr>
        <w:tc>
          <w:tcPr>
            <w:tcW w:type="dxa" w:w="3312"/>
            <w:vAlign w:val="top"/>
          </w:tcPr>
          <w:p>
            <w:pPr>
              <w:jc w:val="left"/>
            </w:pPr>
            <w:r/>
            <w:r>
              <w:rPr>
                <w:rFonts w:ascii="Arial" w:hAnsi="Arial"/>
                <w:b w:val="0"/>
                <w:sz w:val="18"/>
              </w:rPr>
              <w:t>Handle large cards</w:t>
            </w:r>
          </w:p>
        </w:tc>
        <w:tc>
          <w:tcPr>
            <w:tcW w:type="dxa" w:w="6480"/>
            <w:vAlign w:val="top"/>
          </w:tcPr>
          <w:p>
            <w:pPr>
              <w:jc w:val="left"/>
            </w:pPr>
            <w:r/>
            <w:r>
              <w:rPr>
                <w:rFonts w:ascii="Arial" w:hAnsi="Arial"/>
                <w:b w:val="0"/>
                <w:sz w:val="18"/>
              </w:rPr>
              <w:t>Large Card / 400GB Footage Management chapter.</w:t>
            </w:r>
          </w:p>
        </w:tc>
      </w:tr>
      <w:tr>
        <w:tc>
          <w:tcPr>
            <w:tcW w:type="dxa" w:w="3312"/>
            <w:vAlign w:val="top"/>
          </w:tcPr>
          <w:p>
            <w:pPr>
              <w:jc w:val="left"/>
            </w:pPr>
            <w:r/>
            <w:r>
              <w:rPr>
                <w:rFonts w:ascii="Arial" w:hAnsi="Arial"/>
                <w:b w:val="0"/>
                <w:sz w:val="18"/>
              </w:rPr>
              <w:t>Import into Resolve or Premiere</w:t>
            </w:r>
          </w:p>
        </w:tc>
        <w:tc>
          <w:tcPr>
            <w:tcW w:type="dxa" w:w="6480"/>
            <w:vAlign w:val="top"/>
          </w:tcPr>
          <w:p>
            <w:pPr>
              <w:jc w:val="left"/>
            </w:pPr>
            <w:r/>
            <w:r>
              <w:rPr>
                <w:rFonts w:ascii="Arial" w:hAnsi="Arial"/>
                <w:b w:val="0"/>
                <w:sz w:val="18"/>
              </w:rPr>
              <w:t>Resolve/Premiere import and audio-channel workflow chapter; Appendix K.</w:t>
            </w:r>
          </w:p>
        </w:tc>
      </w:tr>
      <w:tr>
        <w:tc>
          <w:tcPr>
            <w:tcW w:type="dxa" w:w="3312"/>
            <w:vAlign w:val="top"/>
          </w:tcPr>
          <w:p>
            <w:pPr>
              <w:jc w:val="left"/>
            </w:pPr>
            <w:r/>
            <w:r>
              <w:rPr>
                <w:rFonts w:ascii="Arial" w:hAnsi="Arial"/>
                <w:b w:val="0"/>
                <w:sz w:val="18"/>
              </w:rPr>
              <w:t>Create proxies</w:t>
            </w:r>
          </w:p>
        </w:tc>
        <w:tc>
          <w:tcPr>
            <w:tcW w:type="dxa" w:w="6480"/>
            <w:vAlign w:val="top"/>
          </w:tcPr>
          <w:p>
            <w:pPr>
              <w:jc w:val="left"/>
            </w:pPr>
            <w:r/>
            <w:r>
              <w:rPr>
                <w:rFonts w:ascii="Arial" w:hAnsi="Arial"/>
                <w:b w:val="0"/>
                <w:sz w:val="18"/>
              </w:rPr>
              <w:t>Proxy, storage, and archive planning chapter.</w:t>
            </w:r>
          </w:p>
        </w:tc>
      </w:tr>
      <w:tr>
        <w:tc>
          <w:tcPr>
            <w:tcW w:type="dxa" w:w="3312"/>
            <w:vAlign w:val="top"/>
          </w:tcPr>
          <w:p>
            <w:pPr>
              <w:jc w:val="left"/>
            </w:pPr>
            <w:r/>
            <w:r>
              <w:rPr>
                <w:rFonts w:ascii="Arial" w:hAnsi="Arial"/>
                <w:b w:val="0"/>
                <w:sz w:val="18"/>
              </w:rPr>
              <w:t>Build final archive</w:t>
            </w:r>
          </w:p>
        </w:tc>
        <w:tc>
          <w:tcPr>
            <w:tcW w:type="dxa" w:w="6480"/>
            <w:vAlign w:val="top"/>
          </w:tcPr>
          <w:p>
            <w:pPr>
              <w:jc w:val="left"/>
            </w:pPr>
            <w:r/>
            <w:r>
              <w:rPr>
                <w:rFonts w:ascii="Arial" w:hAnsi="Arial"/>
                <w:b w:val="0"/>
                <w:sz w:val="18"/>
              </w:rPr>
              <w:t>Archive planning and deliverables/templates chapter.</w:t>
            </w:r>
          </w:p>
        </w:tc>
      </w:tr>
      <w:tr>
        <w:tc>
          <w:tcPr>
            <w:tcW w:type="dxa" w:w="3312"/>
            <w:vAlign w:val="top"/>
          </w:tcPr>
          <w:p>
            <w:pPr>
              <w:jc w:val="left"/>
            </w:pPr>
            <w:r/>
            <w:r>
              <w:rPr>
                <w:rFonts w:ascii="Arial" w:hAnsi="Arial"/>
                <w:b w:val="0"/>
                <w:sz w:val="18"/>
              </w:rPr>
              <w:t>Use logs/templates</w:t>
            </w:r>
          </w:p>
        </w:tc>
        <w:tc>
          <w:tcPr>
            <w:tcW w:type="dxa" w:w="6480"/>
            <w:vAlign w:val="top"/>
          </w:tcPr>
          <w:p>
            <w:pPr>
              <w:jc w:val="left"/>
            </w:pPr>
            <w:r/>
            <w:r>
              <w:rPr>
                <w:rFonts w:ascii="Arial" w:hAnsi="Arial"/>
                <w:b w:val="0"/>
                <w:sz w:val="18"/>
              </w:rPr>
              <w:t>Created deliverables and templates chapter.</w:t>
            </w:r>
          </w:p>
        </w:tc>
      </w:tr>
    </w:tbl>
    <w:p/>
    <w:p>
      <w:r>
        <w:br w:type="page"/>
      </w:r>
    </w:p>
    <w:p>
      <w:pPr>
        <w:pStyle w:val="Heading1"/>
      </w:pPr>
      <w:r>
        <w:t>8. Emergency Troubleshooting Routing</w:t>
      </w:r>
    </w:p>
    <w:tbl>
      <w:tblPr>
        <w:tblStyle w:val="TableGrid"/>
        <w:tblW w:type="auto" w:w="0"/>
        <w:jc w:val="center"/>
        <w:tblLook w:firstColumn="1" w:firstRow="1" w:lastColumn="0" w:lastRow="0" w:noHBand="0" w:noVBand="1" w:val="04A0"/>
      </w:tblPr>
      <w:tblGrid>
        <w:gridCol w:w="3456"/>
        <w:gridCol w:w="3456"/>
        <w:gridCol w:w="3456"/>
      </w:tblGrid>
      <w:tr>
        <w:tc>
          <w:tcPr>
            <w:tcW w:type="dxa" w:w="2520"/>
            <w:shd w:fill="1F4E79"/>
            <w:vAlign w:val="top"/>
          </w:tcPr>
          <w:p>
            <w:pPr>
              <w:jc w:val="left"/>
            </w:pPr>
            <w:r/>
            <w:r>
              <w:rPr>
                <w:rFonts w:ascii="Arial" w:hAnsi="Arial"/>
                <w:b/>
                <w:color w:val="FFFFFF"/>
                <w:sz w:val="17"/>
              </w:rPr>
              <w:t>Problem</w:t>
            </w:r>
          </w:p>
        </w:tc>
        <w:tc>
          <w:tcPr>
            <w:tcW w:type="dxa" w:w="3960"/>
            <w:shd w:fill="1F4E79"/>
            <w:vAlign w:val="top"/>
          </w:tcPr>
          <w:p>
            <w:pPr>
              <w:jc w:val="left"/>
            </w:pPr>
            <w:r/>
            <w:r>
              <w:rPr>
                <w:rFonts w:ascii="Arial" w:hAnsi="Arial"/>
                <w:b/>
                <w:color w:val="FFFFFF"/>
                <w:sz w:val="17"/>
              </w:rPr>
              <w:t>First move</w:t>
            </w:r>
          </w:p>
        </w:tc>
        <w:tc>
          <w:tcPr>
            <w:tcW w:type="dxa" w:w="3312"/>
            <w:shd w:fill="1F4E79"/>
            <w:vAlign w:val="top"/>
          </w:tcPr>
          <w:p>
            <w:pPr>
              <w:jc w:val="left"/>
            </w:pPr>
            <w:r/>
            <w:r>
              <w:rPr>
                <w:rFonts w:ascii="Arial" w:hAnsi="Arial"/>
                <w:b/>
                <w:color w:val="FFFFFF"/>
                <w:sz w:val="17"/>
              </w:rPr>
              <w:t>Then go to...</w:t>
            </w:r>
          </w:p>
        </w:tc>
      </w:tr>
      <w:tr>
        <w:tc>
          <w:tcPr>
            <w:tcW w:type="dxa" w:w="2520"/>
            <w:vAlign w:val="top"/>
          </w:tcPr>
          <w:p>
            <w:pPr>
              <w:jc w:val="left"/>
            </w:pPr>
            <w:r/>
            <w:r>
              <w:rPr>
                <w:rFonts w:ascii="Arial" w:hAnsi="Arial"/>
                <w:b w:val="0"/>
                <w:sz w:val="17"/>
              </w:rPr>
              <w:t>Audio problem</w:t>
            </w:r>
          </w:p>
        </w:tc>
        <w:tc>
          <w:tcPr>
            <w:tcW w:type="dxa" w:w="3960"/>
            <w:vAlign w:val="top"/>
          </w:tcPr>
          <w:p>
            <w:pPr>
              <w:jc w:val="left"/>
            </w:pPr>
            <w:r/>
            <w:r>
              <w:rPr>
                <w:rFonts w:ascii="Arial" w:hAnsi="Arial"/>
                <w:b w:val="0"/>
                <w:sz w:val="17"/>
              </w:rPr>
              <w:t>Stop and use external FX6 Audio Field Setup Guide.</w:t>
            </w:r>
          </w:p>
        </w:tc>
        <w:tc>
          <w:tcPr>
            <w:tcW w:type="dxa" w:w="3312"/>
            <w:vAlign w:val="top"/>
          </w:tcPr>
          <w:p>
            <w:pPr>
              <w:jc w:val="left"/>
            </w:pPr>
            <w:r/>
            <w:r>
              <w:rPr>
                <w:rFonts w:ascii="Arial" w:hAnsi="Arial"/>
                <w:b w:val="0"/>
                <w:sz w:val="17"/>
              </w:rPr>
              <w:t>Historical audio background only if needed.</w:t>
            </w:r>
          </w:p>
        </w:tc>
      </w:tr>
      <w:tr>
        <w:tc>
          <w:tcPr>
            <w:tcW w:type="dxa" w:w="2520"/>
            <w:vAlign w:val="top"/>
          </w:tcPr>
          <w:p>
            <w:pPr>
              <w:jc w:val="left"/>
            </w:pPr>
            <w:r/>
            <w:r>
              <w:rPr>
                <w:rFonts w:ascii="Arial" w:hAnsi="Arial"/>
                <w:b w:val="0"/>
                <w:sz w:val="17"/>
              </w:rPr>
              <w:t>Flat monitor</w:t>
            </w:r>
          </w:p>
        </w:tc>
        <w:tc>
          <w:tcPr>
            <w:tcW w:type="dxa" w:w="3960"/>
            <w:vAlign w:val="top"/>
          </w:tcPr>
          <w:p>
            <w:pPr>
              <w:jc w:val="left"/>
            </w:pPr>
            <w:r/>
            <w:r>
              <w:rPr>
                <w:rFonts w:ascii="Arial" w:hAnsi="Arial"/>
                <w:b w:val="0"/>
                <w:sz w:val="17"/>
              </w:rPr>
              <w:t>Check LUT/MLUT state.</w:t>
            </w:r>
          </w:p>
        </w:tc>
        <w:tc>
          <w:tcPr>
            <w:tcW w:type="dxa" w:w="3312"/>
            <w:vAlign w:val="top"/>
          </w:tcPr>
          <w:p>
            <w:pPr>
              <w:jc w:val="left"/>
            </w:pPr>
            <w:r/>
            <w:r>
              <w:rPr>
                <w:rFonts w:ascii="Arial" w:hAnsi="Arial"/>
                <w:b w:val="0"/>
                <w:sz w:val="17"/>
              </w:rPr>
              <w:t>LUT/monitor chapters.</w:t>
            </w:r>
          </w:p>
        </w:tc>
      </w:tr>
      <w:tr>
        <w:tc>
          <w:tcPr>
            <w:tcW w:type="dxa" w:w="2520"/>
            <w:vAlign w:val="top"/>
          </w:tcPr>
          <w:p>
            <w:pPr>
              <w:jc w:val="left"/>
            </w:pPr>
            <w:r/>
            <w:r>
              <w:rPr>
                <w:rFonts w:ascii="Arial" w:hAnsi="Arial"/>
                <w:b w:val="0"/>
                <w:sz w:val="17"/>
              </w:rPr>
              <w:t>Baked look</w:t>
            </w:r>
          </w:p>
        </w:tc>
        <w:tc>
          <w:tcPr>
            <w:tcW w:type="dxa" w:w="3960"/>
            <w:vAlign w:val="top"/>
          </w:tcPr>
          <w:p>
            <w:pPr>
              <w:jc w:val="left"/>
            </w:pPr>
            <w:r/>
            <w:r>
              <w:rPr>
                <w:rFonts w:ascii="Arial" w:hAnsi="Arial"/>
                <w:b w:val="0"/>
                <w:sz w:val="17"/>
              </w:rPr>
              <w:t>Check double-LUT and Internal Rec MLUT.</w:t>
            </w:r>
          </w:p>
        </w:tc>
        <w:tc>
          <w:tcPr>
            <w:tcW w:type="dxa" w:w="3312"/>
            <w:vAlign w:val="top"/>
          </w:tcPr>
          <w:p>
            <w:pPr>
              <w:jc w:val="left"/>
            </w:pPr>
            <w:r/>
            <w:r>
              <w:rPr>
                <w:rFonts w:ascii="Arial" w:hAnsi="Arial"/>
                <w:b w:val="0"/>
                <w:sz w:val="17"/>
              </w:rPr>
              <w:t>LUT/monitor/settings-card chapters.</w:t>
            </w:r>
          </w:p>
        </w:tc>
      </w:tr>
      <w:tr>
        <w:tc>
          <w:tcPr>
            <w:tcW w:type="dxa" w:w="2520"/>
            <w:vAlign w:val="top"/>
          </w:tcPr>
          <w:p>
            <w:pPr>
              <w:jc w:val="left"/>
            </w:pPr>
            <w:r/>
            <w:r>
              <w:rPr>
                <w:rFonts w:ascii="Arial" w:hAnsi="Arial"/>
                <w:b w:val="0"/>
                <w:sz w:val="17"/>
              </w:rPr>
              <w:t>Dark/muddy image</w:t>
            </w:r>
          </w:p>
        </w:tc>
        <w:tc>
          <w:tcPr>
            <w:tcW w:type="dxa" w:w="3960"/>
            <w:vAlign w:val="top"/>
          </w:tcPr>
          <w:p>
            <w:pPr>
              <w:jc w:val="left"/>
            </w:pPr>
            <w:r/>
            <w:r>
              <w:rPr>
                <w:rFonts w:ascii="Arial" w:hAnsi="Arial"/>
                <w:b w:val="0"/>
                <w:sz w:val="17"/>
              </w:rPr>
              <w:t>Check waveform, Base ISO, ND, aperture, and lighting.</w:t>
            </w:r>
          </w:p>
        </w:tc>
        <w:tc>
          <w:tcPr>
            <w:tcW w:type="dxa" w:w="3312"/>
            <w:vAlign w:val="top"/>
          </w:tcPr>
          <w:p>
            <w:pPr>
              <w:jc w:val="left"/>
            </w:pPr>
            <w:r/>
            <w:r>
              <w:rPr>
                <w:rFonts w:ascii="Arial" w:hAnsi="Arial"/>
                <w:b w:val="0"/>
                <w:sz w:val="17"/>
              </w:rPr>
              <w:t>Exposure/EI and muted-color chapters.</w:t>
            </w:r>
          </w:p>
        </w:tc>
      </w:tr>
      <w:tr>
        <w:tc>
          <w:tcPr>
            <w:tcW w:type="dxa" w:w="2520"/>
            <w:vAlign w:val="top"/>
          </w:tcPr>
          <w:p>
            <w:pPr>
              <w:jc w:val="left"/>
            </w:pPr>
            <w:r/>
            <w:r>
              <w:rPr>
                <w:rFonts w:ascii="Arial" w:hAnsi="Arial"/>
                <w:b w:val="0"/>
                <w:sz w:val="17"/>
              </w:rPr>
              <w:t>Eyes/skin disappear</w:t>
            </w:r>
          </w:p>
        </w:tc>
        <w:tc>
          <w:tcPr>
            <w:tcW w:type="dxa" w:w="3960"/>
            <w:vAlign w:val="top"/>
          </w:tcPr>
          <w:p>
            <w:pPr>
              <w:jc w:val="left"/>
            </w:pPr>
            <w:r/>
            <w:r>
              <w:rPr>
                <w:rFonts w:ascii="Arial" w:hAnsi="Arial"/>
                <w:b w:val="0"/>
                <w:sz w:val="17"/>
              </w:rPr>
              <w:t>Expose and light face cleanly.</w:t>
            </w:r>
          </w:p>
        </w:tc>
        <w:tc>
          <w:tcPr>
            <w:tcW w:type="dxa" w:w="3312"/>
            <w:vAlign w:val="top"/>
          </w:tcPr>
          <w:p>
            <w:pPr>
              <w:jc w:val="left"/>
            </w:pPr>
            <w:r/>
            <w:r>
              <w:rPr>
                <w:rFonts w:ascii="Arial" w:hAnsi="Arial"/>
                <w:b w:val="0"/>
                <w:sz w:val="17"/>
              </w:rPr>
              <w:t>Actor/doc lighting and muted-color chapters.</w:t>
            </w:r>
          </w:p>
        </w:tc>
      </w:tr>
      <w:tr>
        <w:tc>
          <w:tcPr>
            <w:tcW w:type="dxa" w:w="2520"/>
            <w:vAlign w:val="top"/>
          </w:tcPr>
          <w:p>
            <w:pPr>
              <w:jc w:val="left"/>
            </w:pPr>
            <w:r/>
            <w:r>
              <w:rPr>
                <w:rFonts w:ascii="Arial" w:hAnsi="Arial"/>
                <w:b w:val="0"/>
                <w:sz w:val="17"/>
              </w:rPr>
              <w:t>Outdoor brightness problem</w:t>
            </w:r>
          </w:p>
        </w:tc>
        <w:tc>
          <w:tcPr>
            <w:tcW w:type="dxa" w:w="3960"/>
            <w:vAlign w:val="top"/>
          </w:tcPr>
          <w:p>
            <w:pPr>
              <w:jc w:val="left"/>
            </w:pPr>
            <w:r/>
            <w:r>
              <w:rPr>
                <w:rFonts w:ascii="Arial" w:hAnsi="Arial"/>
                <w:b w:val="0"/>
                <w:sz w:val="17"/>
              </w:rPr>
              <w:t>Use ND, not casual shutter change.</w:t>
            </w:r>
          </w:p>
        </w:tc>
        <w:tc>
          <w:tcPr>
            <w:tcW w:type="dxa" w:w="3312"/>
            <w:vAlign w:val="top"/>
          </w:tcPr>
          <w:p>
            <w:pPr>
              <w:jc w:val="left"/>
            </w:pPr>
            <w:r/>
            <w:r>
              <w:rPr>
                <w:rFonts w:ascii="Arial" w:hAnsi="Arial"/>
                <w:b w:val="0"/>
                <w:sz w:val="17"/>
              </w:rPr>
              <w:t>Outdoor Cine EI card.</w:t>
            </w:r>
          </w:p>
        </w:tc>
      </w:tr>
      <w:tr>
        <w:tc>
          <w:tcPr>
            <w:tcW w:type="dxa" w:w="2520"/>
            <w:vAlign w:val="top"/>
          </w:tcPr>
          <w:p>
            <w:pPr>
              <w:jc w:val="left"/>
            </w:pPr>
            <w:r/>
            <w:r>
              <w:rPr>
                <w:rFonts w:ascii="Arial" w:hAnsi="Arial"/>
                <w:b w:val="0"/>
                <w:sz w:val="17"/>
              </w:rPr>
              <w:t>WB shifts</w:t>
            </w:r>
          </w:p>
        </w:tc>
        <w:tc>
          <w:tcPr>
            <w:tcW w:type="dxa" w:w="3960"/>
            <w:vAlign w:val="top"/>
          </w:tcPr>
          <w:p>
            <w:pPr>
              <w:jc w:val="left"/>
            </w:pPr>
            <w:r/>
            <w:r>
              <w:rPr>
                <w:rFonts w:ascii="Arial" w:hAnsi="Arial"/>
                <w:b w:val="0"/>
                <w:sz w:val="17"/>
              </w:rPr>
              <w:t>Lock WB under actual key light.</w:t>
            </w:r>
          </w:p>
        </w:tc>
        <w:tc>
          <w:tcPr>
            <w:tcW w:type="dxa" w:w="3312"/>
            <w:vAlign w:val="top"/>
          </w:tcPr>
          <w:p>
            <w:pPr>
              <w:jc w:val="left"/>
            </w:pPr>
            <w:r/>
            <w:r>
              <w:rPr>
                <w:rFonts w:ascii="Arial" w:hAnsi="Arial"/>
                <w:b w:val="0"/>
                <w:sz w:val="17"/>
              </w:rPr>
              <w:t>White balance chapter.</w:t>
            </w:r>
          </w:p>
        </w:tc>
      </w:tr>
      <w:tr>
        <w:tc>
          <w:tcPr>
            <w:tcW w:type="dxa" w:w="2520"/>
            <w:vAlign w:val="top"/>
          </w:tcPr>
          <w:p>
            <w:pPr>
              <w:jc w:val="left"/>
            </w:pPr>
            <w:r/>
            <w:r>
              <w:rPr>
                <w:rFonts w:ascii="Arial" w:hAnsi="Arial"/>
                <w:b w:val="0"/>
                <w:sz w:val="17"/>
              </w:rPr>
              <w:t>Media confusion</w:t>
            </w:r>
          </w:p>
        </w:tc>
        <w:tc>
          <w:tcPr>
            <w:tcW w:type="dxa" w:w="3960"/>
            <w:vAlign w:val="top"/>
          </w:tcPr>
          <w:p>
            <w:pPr>
              <w:jc w:val="left"/>
            </w:pPr>
            <w:r/>
            <w:r>
              <w:rPr>
                <w:rFonts w:ascii="Arial" w:hAnsi="Arial"/>
                <w:b w:val="0"/>
                <w:sz w:val="17"/>
              </w:rPr>
              <w:t>Stop flattening; identify reel/card/project.</w:t>
            </w:r>
          </w:p>
        </w:tc>
        <w:tc>
          <w:tcPr>
            <w:tcW w:type="dxa" w:w="3312"/>
            <w:vAlign w:val="top"/>
          </w:tcPr>
          <w:p>
            <w:pPr>
              <w:jc w:val="left"/>
            </w:pPr>
            <w:r/>
            <w:r>
              <w:rPr>
                <w:rFonts w:ascii="Arial" w:hAnsi="Arial"/>
                <w:b w:val="0"/>
                <w:sz w:val="17"/>
              </w:rPr>
              <w:t>File naming/offload/import chapters.</w:t>
            </w:r>
          </w:p>
        </w:tc>
      </w:tr>
    </w:tbl>
    <w:p/>
    <w:p>
      <w:r>
        <w:br w:type="page"/>
      </w:r>
    </w:p>
    <w:p>
      <w:pPr>
        <w:pStyle w:val="Heading1"/>
      </w:pPr>
      <w:r>
        <w:t>9. Source Map</w:t>
      </w:r>
    </w:p>
    <w:tbl>
      <w:tblPr>
        <w:tblStyle w:val="TableGrid"/>
        <w:tblW w:type="auto" w:w="0"/>
        <w:jc w:val="center"/>
        <w:tblLook w:firstColumn="1" w:firstRow="1" w:lastColumn="0" w:lastRow="0" w:noHBand="0" w:noVBand="1" w:val="04A0"/>
      </w:tblPr>
      <w:tblGrid>
        <w:gridCol w:w="5184"/>
        <w:gridCol w:w="5184"/>
      </w:tblGrid>
      <w:tr>
        <w:tc>
          <w:tcPr>
            <w:tcW w:type="dxa" w:w="3600"/>
            <w:shd w:fill="1F4E79"/>
            <w:vAlign w:val="top"/>
          </w:tcPr>
          <w:p>
            <w:pPr>
              <w:jc w:val="left"/>
            </w:pPr>
            <w:r/>
            <w:r>
              <w:rPr>
                <w:rFonts w:ascii="Arial" w:hAnsi="Arial"/>
                <w:b/>
                <w:color w:val="FFFFFF"/>
                <w:sz w:val="18"/>
              </w:rPr>
              <w:t>Topic</w:t>
            </w:r>
          </w:p>
        </w:tc>
        <w:tc>
          <w:tcPr>
            <w:tcW w:type="dxa" w:w="6192"/>
            <w:shd w:fill="1F4E79"/>
            <w:vAlign w:val="top"/>
          </w:tcPr>
          <w:p>
            <w:pPr>
              <w:jc w:val="left"/>
            </w:pPr>
            <w:r/>
            <w:r>
              <w:rPr>
                <w:rFonts w:ascii="Arial" w:hAnsi="Arial"/>
                <w:b/>
                <w:color w:val="FFFFFF"/>
                <w:sz w:val="18"/>
              </w:rPr>
              <w:t>Handbook source area</w:t>
            </w:r>
          </w:p>
        </w:tc>
      </w:tr>
      <w:tr>
        <w:tc>
          <w:tcPr>
            <w:tcW w:type="dxa" w:w="3600"/>
            <w:vAlign w:val="top"/>
          </w:tcPr>
          <w:p>
            <w:pPr>
              <w:jc w:val="left"/>
            </w:pPr>
            <w:r/>
            <w:r>
              <w:rPr>
                <w:rFonts w:ascii="Arial" w:hAnsi="Arial"/>
                <w:b w:val="0"/>
                <w:sz w:val="18"/>
              </w:rPr>
              <w:t>Project purpose / doctrine</w:t>
            </w:r>
          </w:p>
        </w:tc>
        <w:tc>
          <w:tcPr>
            <w:tcW w:type="dxa" w:w="6192"/>
            <w:vAlign w:val="top"/>
          </w:tcPr>
          <w:p>
            <w:pPr>
              <w:jc w:val="left"/>
            </w:pPr>
            <w:r/>
            <w:r>
              <w:rPr>
                <w:rFonts w:ascii="Arial" w:hAnsi="Arial"/>
                <w:b w:val="0"/>
                <w:sz w:val="18"/>
              </w:rPr>
              <w:t>Chapters 1-2, pp. 2-18.</w:t>
            </w:r>
          </w:p>
        </w:tc>
      </w:tr>
      <w:tr>
        <w:tc>
          <w:tcPr>
            <w:tcW w:type="dxa" w:w="3600"/>
            <w:vAlign w:val="top"/>
          </w:tcPr>
          <w:p>
            <w:pPr>
              <w:jc w:val="left"/>
            </w:pPr>
            <w:r/>
            <w:r>
              <w:rPr>
                <w:rFonts w:ascii="Arial" w:hAnsi="Arial"/>
                <w:b w:val="0"/>
                <w:sz w:val="18"/>
              </w:rPr>
              <w:t>Audio background only</w:t>
            </w:r>
          </w:p>
        </w:tc>
        <w:tc>
          <w:tcPr>
            <w:tcW w:type="dxa" w:w="6192"/>
            <w:vAlign w:val="top"/>
          </w:tcPr>
          <w:p>
            <w:pPr>
              <w:jc w:val="left"/>
            </w:pPr>
            <w:r/>
            <w:r>
              <w:rPr>
                <w:rFonts w:ascii="Arial" w:hAnsi="Arial"/>
                <w:b w:val="0"/>
                <w:sz w:val="18"/>
              </w:rPr>
              <w:t>Chapters 3-9 and Appendices A-C; operational use deferred to external Audio Field Setup Guide.</w:t>
            </w:r>
          </w:p>
        </w:tc>
      </w:tr>
      <w:tr>
        <w:tc>
          <w:tcPr>
            <w:tcW w:type="dxa" w:w="3600"/>
            <w:vAlign w:val="top"/>
          </w:tcPr>
          <w:p>
            <w:pPr>
              <w:jc w:val="left"/>
            </w:pPr>
            <w:r/>
            <w:r>
              <w:rPr>
                <w:rFonts w:ascii="Arial" w:hAnsi="Arial"/>
                <w:b w:val="0"/>
                <w:sz w:val="18"/>
              </w:rPr>
              <w:t>Camera controls</w:t>
            </w:r>
          </w:p>
        </w:tc>
        <w:tc>
          <w:tcPr>
            <w:tcW w:type="dxa" w:w="6192"/>
            <w:vAlign w:val="top"/>
          </w:tcPr>
          <w:p>
            <w:pPr>
              <w:jc w:val="left"/>
            </w:pPr>
            <w:r/>
            <w:r>
              <w:rPr>
                <w:rFonts w:ascii="Arial" w:hAnsi="Arial"/>
                <w:b w:val="0"/>
                <w:sz w:val="18"/>
              </w:rPr>
              <w:t>Chapters 10-18, pp. 68-141.</w:t>
            </w:r>
          </w:p>
        </w:tc>
      </w:tr>
      <w:tr>
        <w:tc>
          <w:tcPr>
            <w:tcW w:type="dxa" w:w="3600"/>
            <w:vAlign w:val="top"/>
          </w:tcPr>
          <w:p>
            <w:pPr>
              <w:jc w:val="left"/>
            </w:pPr>
            <w:r/>
            <w:r>
              <w:rPr>
                <w:rFonts w:ascii="Arial" w:hAnsi="Arial"/>
                <w:b w:val="0"/>
                <w:sz w:val="18"/>
              </w:rPr>
              <w:t>LUT / monitor / settings card</w:t>
            </w:r>
          </w:p>
        </w:tc>
        <w:tc>
          <w:tcPr>
            <w:tcW w:type="dxa" w:w="6192"/>
            <w:vAlign w:val="top"/>
          </w:tcPr>
          <w:p>
            <w:pPr>
              <w:jc w:val="left"/>
            </w:pPr>
            <w:r/>
            <w:r>
              <w:rPr>
                <w:rFonts w:ascii="Arial" w:hAnsi="Arial"/>
                <w:b w:val="0"/>
                <w:sz w:val="18"/>
              </w:rPr>
              <w:t>Chapters 19-22, pp. 142-170.</w:t>
            </w:r>
          </w:p>
        </w:tc>
      </w:tr>
      <w:tr>
        <w:tc>
          <w:tcPr>
            <w:tcW w:type="dxa" w:w="3600"/>
            <w:vAlign w:val="top"/>
          </w:tcPr>
          <w:p>
            <w:pPr>
              <w:jc w:val="left"/>
            </w:pPr>
            <w:r/>
            <w:r>
              <w:rPr>
                <w:rFonts w:ascii="Arial" w:hAnsi="Arial"/>
                <w:b w:val="0"/>
                <w:sz w:val="18"/>
              </w:rPr>
              <w:t>Muted-color visual method</w:t>
            </w:r>
          </w:p>
        </w:tc>
        <w:tc>
          <w:tcPr>
            <w:tcW w:type="dxa" w:w="6192"/>
            <w:vAlign w:val="top"/>
          </w:tcPr>
          <w:p>
            <w:pPr>
              <w:jc w:val="left"/>
            </w:pPr>
            <w:r/>
            <w:r>
              <w:rPr>
                <w:rFonts w:ascii="Arial" w:hAnsi="Arial"/>
                <w:b w:val="0"/>
                <w:sz w:val="18"/>
              </w:rPr>
              <w:t>Chapter 23, pp. 171-188.</w:t>
            </w:r>
          </w:p>
        </w:tc>
      </w:tr>
      <w:tr>
        <w:tc>
          <w:tcPr>
            <w:tcW w:type="dxa" w:w="3600"/>
            <w:vAlign w:val="top"/>
          </w:tcPr>
          <w:p>
            <w:pPr>
              <w:jc w:val="left"/>
            </w:pPr>
            <w:r/>
            <w:r>
              <w:rPr>
                <w:rFonts w:ascii="Arial" w:hAnsi="Arial"/>
                <w:b w:val="0"/>
                <w:sz w:val="18"/>
              </w:rPr>
              <w:t>Actor reel lighting</w:t>
            </w:r>
          </w:p>
        </w:tc>
        <w:tc>
          <w:tcPr>
            <w:tcW w:type="dxa" w:w="6192"/>
            <w:vAlign w:val="top"/>
          </w:tcPr>
          <w:p>
            <w:pPr>
              <w:jc w:val="left"/>
            </w:pPr>
            <w:r/>
            <w:r>
              <w:rPr>
                <w:rFonts w:ascii="Arial" w:hAnsi="Arial"/>
                <w:b w:val="0"/>
                <w:sz w:val="18"/>
              </w:rPr>
              <w:t>Chapter 24 and Appendix F.</w:t>
            </w:r>
          </w:p>
        </w:tc>
      </w:tr>
      <w:tr>
        <w:tc>
          <w:tcPr>
            <w:tcW w:type="dxa" w:w="3600"/>
            <w:vAlign w:val="top"/>
          </w:tcPr>
          <w:p>
            <w:pPr>
              <w:jc w:val="left"/>
            </w:pPr>
            <w:r/>
            <w:r>
              <w:rPr>
                <w:rFonts w:ascii="Arial" w:hAnsi="Arial"/>
                <w:b w:val="0"/>
                <w:sz w:val="18"/>
              </w:rPr>
              <w:t>Feature scene lighting</w:t>
            </w:r>
          </w:p>
        </w:tc>
        <w:tc>
          <w:tcPr>
            <w:tcW w:type="dxa" w:w="6192"/>
            <w:vAlign w:val="top"/>
          </w:tcPr>
          <w:p>
            <w:pPr>
              <w:jc w:val="left"/>
            </w:pPr>
            <w:r/>
            <w:r>
              <w:rPr>
                <w:rFonts w:ascii="Arial" w:hAnsi="Arial"/>
                <w:b w:val="0"/>
                <w:sz w:val="18"/>
              </w:rPr>
              <w:t>Chapter 25 and Appendix G.</w:t>
            </w:r>
          </w:p>
        </w:tc>
      </w:tr>
      <w:tr>
        <w:tc>
          <w:tcPr>
            <w:tcW w:type="dxa" w:w="3600"/>
            <w:vAlign w:val="top"/>
          </w:tcPr>
          <w:p>
            <w:pPr>
              <w:jc w:val="left"/>
            </w:pPr>
            <w:r/>
            <w:r>
              <w:rPr>
                <w:rFonts w:ascii="Arial" w:hAnsi="Arial"/>
                <w:b w:val="0"/>
                <w:sz w:val="18"/>
              </w:rPr>
              <w:t>Documentary lighting</w:t>
            </w:r>
          </w:p>
        </w:tc>
        <w:tc>
          <w:tcPr>
            <w:tcW w:type="dxa" w:w="6192"/>
            <w:vAlign w:val="top"/>
          </w:tcPr>
          <w:p>
            <w:pPr>
              <w:jc w:val="left"/>
            </w:pPr>
            <w:r/>
            <w:r>
              <w:rPr>
                <w:rFonts w:ascii="Arial" w:hAnsi="Arial"/>
                <w:b w:val="0"/>
                <w:sz w:val="18"/>
              </w:rPr>
              <w:t>Chapter 26 and Appendix H.</w:t>
            </w:r>
          </w:p>
        </w:tc>
      </w:tr>
      <w:tr>
        <w:tc>
          <w:tcPr>
            <w:tcW w:type="dxa" w:w="3600"/>
            <w:vAlign w:val="top"/>
          </w:tcPr>
          <w:p>
            <w:pPr>
              <w:jc w:val="left"/>
            </w:pPr>
            <w:r/>
            <w:r>
              <w:rPr>
                <w:rFonts w:ascii="Arial" w:hAnsi="Arial"/>
                <w:b w:val="0"/>
                <w:sz w:val="18"/>
              </w:rPr>
              <w:t>Lens/movement/production design</w:t>
            </w:r>
          </w:p>
        </w:tc>
        <w:tc>
          <w:tcPr>
            <w:tcW w:type="dxa" w:w="6192"/>
            <w:vAlign w:val="top"/>
          </w:tcPr>
          <w:p>
            <w:pPr>
              <w:jc w:val="left"/>
            </w:pPr>
            <w:r/>
            <w:r>
              <w:rPr>
                <w:rFonts w:ascii="Arial" w:hAnsi="Arial"/>
                <w:b w:val="0"/>
                <w:sz w:val="18"/>
              </w:rPr>
              <w:t>Chapters 27-28, pp. 224-240.</w:t>
            </w:r>
          </w:p>
        </w:tc>
      </w:tr>
      <w:tr>
        <w:tc>
          <w:tcPr>
            <w:tcW w:type="dxa" w:w="3600"/>
            <w:vAlign w:val="top"/>
          </w:tcPr>
          <w:p>
            <w:pPr>
              <w:jc w:val="left"/>
            </w:pPr>
            <w:r/>
            <w:r>
              <w:rPr>
                <w:rFonts w:ascii="Arial" w:hAnsi="Arial"/>
                <w:b w:val="0"/>
                <w:sz w:val="18"/>
              </w:rPr>
              <w:t>Pre-shoot / shoot-day workflow</w:t>
            </w:r>
          </w:p>
        </w:tc>
        <w:tc>
          <w:tcPr>
            <w:tcW w:type="dxa" w:w="6192"/>
            <w:vAlign w:val="top"/>
          </w:tcPr>
          <w:p>
            <w:pPr>
              <w:jc w:val="left"/>
            </w:pPr>
            <w:r/>
            <w:r>
              <w:rPr>
                <w:rFonts w:ascii="Arial" w:hAnsi="Arial"/>
                <w:b w:val="0"/>
                <w:sz w:val="18"/>
              </w:rPr>
              <w:t>Chapters 29-30, pp. 241-258.</w:t>
            </w:r>
          </w:p>
        </w:tc>
      </w:tr>
      <w:tr>
        <w:tc>
          <w:tcPr>
            <w:tcW w:type="dxa" w:w="3600"/>
            <w:vAlign w:val="top"/>
          </w:tcPr>
          <w:p>
            <w:pPr>
              <w:jc w:val="left"/>
            </w:pPr>
            <w:r/>
            <w:r>
              <w:rPr>
                <w:rFonts w:ascii="Arial" w:hAnsi="Arial"/>
                <w:b w:val="0"/>
                <w:sz w:val="18"/>
              </w:rPr>
              <w:t>File/post workflow</w:t>
            </w:r>
          </w:p>
        </w:tc>
        <w:tc>
          <w:tcPr>
            <w:tcW w:type="dxa" w:w="6192"/>
            <w:vAlign w:val="top"/>
          </w:tcPr>
          <w:p>
            <w:pPr>
              <w:jc w:val="left"/>
            </w:pPr>
            <w:r/>
            <w:r>
              <w:rPr>
                <w:rFonts w:ascii="Arial" w:hAnsi="Arial"/>
                <w:b w:val="0"/>
                <w:sz w:val="18"/>
              </w:rPr>
              <w:t>Chapters 31-40, pp. 259-339 and Appendices I-K.</w:t>
            </w:r>
          </w:p>
        </w:tc>
      </w:tr>
      <w:tr>
        <w:tc>
          <w:tcPr>
            <w:tcW w:type="dxa" w:w="3600"/>
            <w:vAlign w:val="top"/>
          </w:tcPr>
          <w:p>
            <w:pPr>
              <w:jc w:val="left"/>
            </w:pPr>
            <w:r/>
            <w:r>
              <w:rPr>
                <w:rFonts w:ascii="Arial" w:hAnsi="Arial"/>
                <w:b w:val="0"/>
                <w:sz w:val="18"/>
              </w:rPr>
              <w:t>Ignored pages</w:t>
            </w:r>
          </w:p>
        </w:tc>
        <w:tc>
          <w:tcPr>
            <w:tcW w:type="dxa" w:w="6192"/>
            <w:vAlign w:val="top"/>
          </w:tcPr>
          <w:p>
            <w:pPr>
              <w:jc w:val="left"/>
            </w:pPr>
            <w:r/>
            <w:r>
              <w:rPr>
                <w:rFonts w:ascii="Arial" w:hAnsi="Arial"/>
                <w:b w:val="0"/>
                <w:sz w:val="18"/>
              </w:rPr>
              <w:t>Pages 381-384 excluded by project instruction.</w:t>
            </w:r>
          </w:p>
        </w:tc>
      </w:tr>
    </w:tbl>
    <w:p/>
    <w:sectPr w:rsidR="00FC693F" w:rsidRPr="0006063C" w:rsidSect="00034616">
      <w:footerReference w:type="default" r:id="rId9"/>
      <w:pgSz w:w="12240" w:h="15840"/>
      <w:pgMar w:top="792" w:right="936" w:bottom="792"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color w:val="646464"/>
        <w:sz w:val="15"/>
      </w:rPr>
      <w:t>FX6 Full Handbook Index and Decision Tree V1 | V1 | Canon source untouched | Audio: external FX6 Audio Field Setup Guide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365F91" w:themeColor="accent1" w:themeShade="BF"/>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4F81BD" w:themeColor="accent1"/>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4F81BD" w:themeColor="accent1"/>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rial" w:hAnsi="Arial"/>
      <w:color w:val="17365D" w:themeColor="text2" w:themeShade="BF"/>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